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
        <w:spacing w:before="0" w:after="0"/>
        <w:rPr>
          <w:rFonts w:ascii="Tahoma" w:hAnsi="Tahoma" w:cs="Tahoma"/>
          <w:sz w:val="20"/>
        </w:rPr>
      </w:pPr>
      <w:r>
        <w:rPr>
          <w:rFonts w:cs="Tahoma" w:ascii="Tahoma" w:hAnsi="Tahoma"/>
          <w:sz w:val="20"/>
        </w:rPr>
        <w:t> </w:t>
      </w:r>
      <w:r>
        <w:rPr>
          <w:rFonts w:cs="Tahoma" w:ascii="Tahoma" w:hAnsi="Tahoma"/>
          <w:sz w:val="20"/>
        </w:rPr>
        <w:t>SMLOUVA</w:t>
      </w:r>
    </w:p>
    <w:p>
      <w:pPr>
        <w:pStyle w:val="Normal"/>
        <w:jc w:val="center"/>
        <w:rPr>
          <w:rFonts w:ascii="Tahoma" w:hAnsi="Tahoma" w:cs="Tahoma"/>
          <w:b/>
          <w:bCs/>
          <w:sz w:val="20"/>
        </w:rPr>
      </w:pPr>
      <w:r>
        <w:rPr>
          <w:rFonts w:cs="Tahoma" w:ascii="Tahoma" w:hAnsi="Tahoma"/>
          <w:b/>
          <w:bCs/>
          <w:sz w:val="20"/>
        </w:rPr>
        <w:t>o poskytnutí dotace z rozpočtu Moravskoslezského kraje</w:t>
      </w:r>
    </w:p>
    <w:p>
      <w:pPr>
        <w:pStyle w:val="Normal"/>
        <w:spacing w:before="360" w:after="0"/>
        <w:jc w:val="center"/>
        <w:rPr>
          <w:rFonts w:ascii="Tahoma" w:hAnsi="Tahoma" w:cs="Tahoma"/>
          <w:b/>
          <w:bCs/>
          <w:sz w:val="20"/>
        </w:rPr>
      </w:pPr>
      <w:r>
        <w:rPr>
          <w:rFonts w:cs="Tahoma" w:ascii="Tahoma" w:hAnsi="Tahoma"/>
          <w:b/>
          <w:bCs/>
          <w:sz w:val="20"/>
        </w:rPr>
        <w:t>I.</w:t>
      </w:r>
    </w:p>
    <w:p>
      <w:pPr>
        <w:pStyle w:val="Heading2"/>
        <w:ind w:hanging="0" w:start="0"/>
        <w:rPr>
          <w:rFonts w:ascii="Tahoma" w:hAnsi="Tahoma" w:cs="Tahoma"/>
          <w:sz w:val="20"/>
        </w:rPr>
      </w:pPr>
      <w:r>
        <w:rPr>
          <w:rFonts w:cs="Tahoma" w:ascii="Tahoma" w:hAnsi="Tahoma"/>
          <w:sz w:val="20"/>
        </w:rPr>
        <w:t>Smluvní strany</w:t>
      </w:r>
    </w:p>
    <w:p>
      <w:pPr>
        <w:pStyle w:val="Heading1"/>
        <w:numPr>
          <w:ilvl w:val="0"/>
          <w:numId w:val="12"/>
        </w:numPr>
        <w:spacing w:before="120" w:after="0"/>
        <w:jc w:val="both"/>
        <w:rPr>
          <w:rFonts w:ascii="Tahoma" w:hAnsi="Tahoma" w:cs="Tahoma"/>
          <w:sz w:val="20"/>
        </w:rPr>
      </w:pPr>
      <w:r>
        <w:rPr>
          <w:rFonts w:cs="Tahoma" w:ascii="Tahoma" w:hAnsi="Tahoma"/>
          <w:sz w:val="20"/>
        </w:rPr>
        <w:t>Moravskoslezský kraj</w:t>
      </w:r>
    </w:p>
    <w:p>
      <w:pPr>
        <w:pStyle w:val="Normal"/>
        <w:ind w:start="360" w:end="0"/>
        <w:jc w:val="both"/>
        <w:rPr/>
      </w:pPr>
      <w:r>
        <w:rPr>
          <w:rFonts w:cs="Tahoma" w:ascii="Tahoma" w:hAnsi="Tahoma"/>
          <w:sz w:val="20"/>
        </w:rPr>
        <w:t>se sídlem:</w:t>
        <w:tab/>
        <w:tab/>
        <w:t>28. října 2771/117, 702 00 Ostrava</w:t>
      </w:r>
    </w:p>
    <w:p>
      <w:pPr>
        <w:pStyle w:val="Normal"/>
        <w:ind w:start="360" w:end="0"/>
        <w:jc w:val="both"/>
        <w:rPr>
          <w:rFonts w:ascii="Tahoma" w:hAnsi="Tahoma" w:cs="Tahoma"/>
          <w:sz w:val="20"/>
        </w:rPr>
      </w:pPr>
      <w:r>
        <w:rPr>
          <w:rFonts w:cs="Tahoma" w:ascii="Tahoma" w:hAnsi="Tahoma"/>
          <w:sz w:val="20"/>
        </w:rPr>
        <w:t>zastoupen:</w:t>
        <w:tab/>
        <w:tab/>
        <w:t>Ing. Šárkou Šimoňákovou, 1. náměstkyní hejtmana kraje</w:t>
      </w:r>
    </w:p>
    <w:p>
      <w:pPr>
        <w:pStyle w:val="Normal"/>
        <w:tabs>
          <w:tab w:val="left" w:pos="708" w:leader="none"/>
          <w:tab w:val="left" w:pos="1416" w:leader="none"/>
          <w:tab w:val="left" w:pos="2124" w:leader="none"/>
          <w:tab w:val="left" w:pos="2832" w:leader="none"/>
          <w:tab w:val="left" w:pos="6210" w:leader="none"/>
        </w:tabs>
        <w:ind w:start="360" w:end="0"/>
        <w:jc w:val="both"/>
        <w:rPr>
          <w:rFonts w:ascii="Tahoma" w:hAnsi="Tahoma" w:cs="Tahoma"/>
          <w:sz w:val="20"/>
        </w:rPr>
      </w:pPr>
      <w:r>
        <w:rPr>
          <w:rFonts w:cs="Tahoma" w:ascii="Tahoma" w:hAnsi="Tahoma"/>
          <w:sz w:val="20"/>
        </w:rPr>
        <w:t>IČ:</w:t>
        <w:tab/>
        <w:tab/>
        <w:tab/>
        <w:t>70890692</w:t>
        <w:tab/>
      </w:r>
    </w:p>
    <w:p>
      <w:pPr>
        <w:pStyle w:val="Normal"/>
        <w:ind w:start="360" w:end="0"/>
        <w:jc w:val="both"/>
        <w:rPr>
          <w:rFonts w:ascii="Tahoma" w:hAnsi="Tahoma" w:cs="Tahoma"/>
          <w:sz w:val="20"/>
        </w:rPr>
      </w:pPr>
      <w:r>
        <w:rPr>
          <w:rFonts w:cs="Tahoma" w:ascii="Tahoma" w:hAnsi="Tahoma"/>
          <w:sz w:val="20"/>
        </w:rPr>
        <w:t>DIČ:</w:t>
        <w:tab/>
        <w:tab/>
        <w:t xml:space="preserve">CZ70890692 </w:t>
      </w:r>
    </w:p>
    <w:p>
      <w:pPr>
        <w:pStyle w:val="Normal"/>
        <w:ind w:start="360" w:end="0"/>
        <w:jc w:val="both"/>
        <w:rPr>
          <w:rFonts w:ascii="Tahoma" w:hAnsi="Tahoma" w:cs="Tahoma"/>
          <w:sz w:val="20"/>
        </w:rPr>
      </w:pPr>
      <w:r>
        <w:rPr>
          <w:rFonts w:cs="Tahoma" w:ascii="Tahoma" w:hAnsi="Tahoma"/>
          <w:sz w:val="20"/>
        </w:rPr>
        <w:t>bankovní spojení:</w:t>
        <w:tab/>
        <w:t>Česká spořitelna, a.s., č. ú. 1650676349/0800</w:t>
      </w:r>
    </w:p>
    <w:p>
      <w:pPr>
        <w:pStyle w:val="Normal"/>
        <w:spacing w:before="120" w:after="0"/>
        <w:ind w:start="357" w:end="0"/>
        <w:jc w:val="both"/>
        <w:rPr>
          <w:rFonts w:ascii="Tahoma" w:hAnsi="Tahoma" w:cs="Tahoma"/>
          <w:sz w:val="20"/>
        </w:rPr>
      </w:pPr>
      <w:r>
        <w:rPr>
          <w:rFonts w:cs="Tahoma" w:ascii="Tahoma" w:hAnsi="Tahoma"/>
          <w:sz w:val="20"/>
        </w:rPr>
        <w:t>(dále jen „poskytovatel“)</w:t>
      </w:r>
    </w:p>
    <w:p>
      <w:pPr>
        <w:pStyle w:val="Normal"/>
        <w:spacing w:before="120" w:after="0"/>
        <w:jc w:val="both"/>
        <w:rPr>
          <w:rFonts w:ascii="Tahoma" w:hAnsi="Tahoma" w:cs="Tahoma"/>
          <w:sz w:val="20"/>
        </w:rPr>
      </w:pPr>
      <w:r>
        <w:rPr>
          <w:rFonts w:cs="Tahoma" w:ascii="Tahoma" w:hAnsi="Tahoma"/>
          <w:sz w:val="20"/>
        </w:rPr>
        <w:t>a</w:t>
      </w:r>
    </w:p>
    <w:p>
      <w:pPr>
        <w:pStyle w:val="Heading1"/>
        <w:numPr>
          <w:ilvl w:val="0"/>
          <w:numId w:val="12"/>
        </w:numPr>
        <w:spacing w:before="120" w:after="0"/>
        <w:jc w:val="both"/>
        <w:rPr>
          <w:rFonts w:ascii="Tahoma" w:hAnsi="Tahoma" w:cs="Tahoma"/>
          <w:sz w:val="20"/>
        </w:rPr>
      </w:pPr>
      <w:r>
        <w:rPr>
          <w:rFonts w:cs="Tahoma" w:ascii="Tahoma" w:hAnsi="Tahoma"/>
          <w:sz w:val="20"/>
        </w:rPr>
        <w:t>příjemce</w:t>
      </w:r>
    </w:p>
    <w:p>
      <w:pPr>
        <w:pStyle w:val="Normal"/>
        <w:ind w:start="360" w:end="0"/>
        <w:jc w:val="both"/>
        <w:rPr>
          <w:rFonts w:ascii="Tahoma" w:hAnsi="Tahoma" w:cs="Tahoma"/>
          <w:sz w:val="20"/>
        </w:rPr>
      </w:pPr>
      <w:r>
        <w:rPr>
          <w:rFonts w:cs="Tahoma" w:ascii="Tahoma" w:hAnsi="Tahoma"/>
          <w:sz w:val="20"/>
        </w:rPr>
        <w:t>se sídlem:</w:t>
        <w:tab/>
        <w:tab/>
      </w:r>
      <w:r>
        <w:rPr>
          <w:rFonts w:cs="Tahoma" w:ascii="Tahoma" w:hAnsi="Tahoma"/>
          <w:i/>
          <w:iCs/>
          <w:color w:val="3366FF"/>
          <w:sz w:val="20"/>
        </w:rPr>
        <w:t>(u právnické a podnikající fyzické osoby)</w:t>
      </w:r>
    </w:p>
    <w:p>
      <w:pPr>
        <w:pStyle w:val="Normal"/>
        <w:ind w:start="360" w:end="0"/>
        <w:jc w:val="both"/>
        <w:rPr>
          <w:rFonts w:ascii="Tahoma" w:hAnsi="Tahoma" w:cs="Tahoma"/>
          <w:sz w:val="20"/>
        </w:rPr>
      </w:pPr>
      <w:r>
        <w:rPr>
          <w:rFonts w:cs="Tahoma" w:ascii="Tahoma" w:hAnsi="Tahoma"/>
          <w:sz w:val="20"/>
        </w:rPr>
        <w:t>s adresou bydliště:</w:t>
        <w:tab/>
      </w:r>
      <w:r>
        <w:rPr>
          <w:rFonts w:cs="Tahoma" w:ascii="Tahoma" w:hAnsi="Tahoma"/>
          <w:i/>
          <w:iCs/>
          <w:color w:val="3366FF"/>
          <w:sz w:val="20"/>
        </w:rPr>
        <w:t>(u podnikající fyzické osoby)</w:t>
      </w:r>
    </w:p>
    <w:p>
      <w:pPr>
        <w:pStyle w:val="Normal"/>
        <w:ind w:start="360" w:end="0"/>
        <w:jc w:val="both"/>
        <w:rPr>
          <w:rFonts w:ascii="Tahoma" w:hAnsi="Tahoma" w:cs="Tahoma"/>
          <w:i/>
          <w:i/>
          <w:iCs/>
          <w:sz w:val="20"/>
        </w:rPr>
      </w:pPr>
      <w:r>
        <w:rPr>
          <w:rFonts w:cs="Tahoma" w:ascii="Tahoma" w:hAnsi="Tahoma"/>
          <w:sz w:val="20"/>
        </w:rPr>
        <w:t>zastoupen:</w:t>
        <w:tab/>
        <w:tab/>
      </w:r>
      <w:r>
        <w:rPr>
          <w:rFonts w:cs="Tahoma" w:ascii="Tahoma" w:hAnsi="Tahoma"/>
          <w:i/>
          <w:iCs/>
          <w:color w:val="3366FF"/>
          <w:sz w:val="20"/>
        </w:rPr>
        <w:t>(neuvádět u fyzické osoby, ledaže je v konkrétním případě zastoupena)</w:t>
      </w:r>
    </w:p>
    <w:p>
      <w:pPr>
        <w:pStyle w:val="Normal"/>
        <w:ind w:start="360" w:end="0"/>
        <w:jc w:val="both"/>
        <w:rPr>
          <w:rFonts w:ascii="Tahoma" w:hAnsi="Tahoma" w:cs="Tahoma"/>
          <w:sz w:val="20"/>
        </w:rPr>
      </w:pPr>
      <w:r>
        <w:rPr>
          <w:rFonts w:cs="Tahoma" w:ascii="Tahoma" w:hAnsi="Tahoma"/>
          <w:sz w:val="20"/>
        </w:rPr>
        <w:t xml:space="preserve">IČ: </w:t>
        <w:tab/>
        <w:tab/>
        <w:tab/>
      </w:r>
      <w:r>
        <w:rPr>
          <w:rFonts w:cs="Tahoma" w:ascii="Tahoma" w:hAnsi="Tahoma"/>
          <w:i/>
          <w:iCs/>
          <w:color w:val="3366FF"/>
          <w:sz w:val="20"/>
        </w:rPr>
        <w:t>(u právnické a podnikající fyzické osoby)</w:t>
      </w:r>
      <w:r>
        <w:rPr>
          <w:rFonts w:cs="Tahoma" w:ascii="Tahoma" w:hAnsi="Tahoma"/>
          <w:i/>
          <w:iCs/>
          <w:sz w:val="20"/>
        </w:rPr>
        <w:t xml:space="preserve"> </w:t>
      </w:r>
    </w:p>
    <w:p>
      <w:pPr>
        <w:pStyle w:val="Normal"/>
        <w:ind w:start="360" w:end="0"/>
        <w:jc w:val="both"/>
        <w:rPr>
          <w:rFonts w:ascii="Tahoma" w:hAnsi="Tahoma" w:cs="Tahoma"/>
          <w:sz w:val="20"/>
        </w:rPr>
      </w:pPr>
      <w:r>
        <w:rPr>
          <w:rFonts w:cs="Tahoma" w:ascii="Tahoma" w:hAnsi="Tahoma"/>
          <w:sz w:val="20"/>
        </w:rPr>
        <w:t>DIČ:</w:t>
        <w:tab/>
        <w:tab/>
      </w:r>
      <w:r>
        <w:rPr>
          <w:rFonts w:cs="Tahoma" w:ascii="Tahoma" w:hAnsi="Tahoma"/>
          <w:i/>
          <w:iCs/>
          <w:color w:val="3366FF"/>
          <w:sz w:val="20"/>
        </w:rPr>
        <w:t>(má-li)</w:t>
      </w:r>
    </w:p>
    <w:p>
      <w:pPr>
        <w:pStyle w:val="Normal"/>
        <w:ind w:start="360" w:end="0"/>
        <w:jc w:val="both"/>
        <w:rPr>
          <w:rFonts w:ascii="Tahoma" w:hAnsi="Tahoma" w:cs="Tahoma"/>
          <w:sz w:val="20"/>
        </w:rPr>
      </w:pPr>
      <w:r>
        <w:rPr>
          <w:rFonts w:cs="Tahoma" w:ascii="Tahoma" w:hAnsi="Tahoma"/>
          <w:sz w:val="20"/>
        </w:rPr>
        <w:t>datum narození:</w:t>
        <w:tab/>
      </w:r>
      <w:r>
        <w:rPr>
          <w:rFonts w:cs="Tahoma" w:ascii="Tahoma" w:hAnsi="Tahoma"/>
          <w:i/>
          <w:iCs/>
          <w:color w:val="3366FF"/>
          <w:sz w:val="20"/>
        </w:rPr>
        <w:t>(u podnikající fyzické osoby)</w:t>
      </w:r>
    </w:p>
    <w:p>
      <w:pPr>
        <w:pStyle w:val="Normal"/>
        <w:ind w:start="360" w:end="0"/>
        <w:jc w:val="both"/>
        <w:rPr>
          <w:rFonts w:ascii="Tahoma" w:hAnsi="Tahoma" w:cs="Tahoma"/>
          <w:sz w:val="20"/>
        </w:rPr>
      </w:pPr>
      <w:r>
        <w:rPr>
          <w:rFonts w:cs="Tahoma" w:ascii="Tahoma" w:hAnsi="Tahoma"/>
          <w:sz w:val="20"/>
        </w:rPr>
        <w:t xml:space="preserve">bankovní spojení: </w:t>
      </w:r>
    </w:p>
    <w:p>
      <w:pPr>
        <w:pStyle w:val="Normal"/>
        <w:ind w:start="360" w:end="0"/>
        <w:jc w:val="both"/>
        <w:rPr>
          <w:rFonts w:ascii="Tahoma" w:hAnsi="Tahoma" w:cs="Tahoma"/>
          <w:sz w:val="20"/>
        </w:rPr>
      </w:pPr>
      <w:r>
        <w:rPr>
          <w:rFonts w:cs="Tahoma" w:ascii="Tahoma" w:hAnsi="Tahoma"/>
          <w:sz w:val="20"/>
        </w:rPr>
        <w:t>číslo účtu:</w:t>
      </w:r>
    </w:p>
    <w:p>
      <w:pPr>
        <w:pStyle w:val="Normal"/>
        <w:ind w:start="360" w:end="0"/>
        <w:jc w:val="both"/>
        <w:rPr>
          <w:rFonts w:ascii="Tahoma" w:hAnsi="Tahoma" w:cs="Tahoma"/>
          <w:sz w:val="20"/>
        </w:rPr>
      </w:pPr>
      <w:r>
        <w:rPr>
          <w:rFonts w:cs="Tahoma" w:ascii="Tahoma" w:hAnsi="Tahoma"/>
          <w:sz w:val="20"/>
        </w:rPr>
        <w:t>Zapsán v obchodním rejstříku vedeném ………v ……., oddíl …., vložka ……</w:t>
      </w:r>
      <w:r>
        <w:rPr>
          <w:rFonts w:cs="Tahoma" w:ascii="Tahoma" w:hAnsi="Tahoma"/>
          <w:i/>
          <w:iCs/>
          <w:color w:val="3366FF"/>
          <w:sz w:val="20"/>
        </w:rPr>
        <w:t>(uveďte u podnikatele zapsaného v obchodním rejstříku; pokud je příjemce podnikatelem a není zapsán v obchodním rejstříku, uveďte údaj o zápisu do jiné evidence, v níž je zapsán)</w:t>
      </w:r>
    </w:p>
    <w:p>
      <w:pPr>
        <w:pStyle w:val="Normal"/>
        <w:spacing w:before="120" w:after="0"/>
        <w:ind w:start="357" w:end="0"/>
        <w:jc w:val="both"/>
        <w:rPr>
          <w:rFonts w:ascii="Tahoma" w:hAnsi="Tahoma" w:cs="Tahoma"/>
          <w:sz w:val="20"/>
        </w:rPr>
      </w:pPr>
      <w:r>
        <w:rPr>
          <w:rFonts w:cs="Tahoma" w:ascii="Tahoma" w:hAnsi="Tahoma"/>
          <w:sz w:val="20"/>
        </w:rPr>
        <w:t>(dále jen „příjemce“)</w:t>
      </w:r>
    </w:p>
    <w:p>
      <w:pPr>
        <w:pStyle w:val="Normal"/>
        <w:spacing w:before="360" w:after="0"/>
        <w:jc w:val="center"/>
        <w:rPr>
          <w:rFonts w:ascii="Tahoma" w:hAnsi="Tahoma" w:cs="Tahoma"/>
          <w:b/>
          <w:bCs/>
          <w:sz w:val="20"/>
        </w:rPr>
      </w:pPr>
      <w:r>
        <w:rPr>
          <w:rFonts w:cs="Tahoma" w:ascii="Tahoma" w:hAnsi="Tahoma"/>
          <w:b/>
          <w:bCs/>
          <w:sz w:val="20"/>
        </w:rPr>
        <w:t>II.</w:t>
      </w:r>
    </w:p>
    <w:p>
      <w:pPr>
        <w:pStyle w:val="Normal"/>
        <w:jc w:val="center"/>
        <w:rPr>
          <w:rFonts w:ascii="Tahoma" w:hAnsi="Tahoma" w:cs="Tahoma"/>
          <w:b/>
          <w:bCs/>
          <w:sz w:val="20"/>
        </w:rPr>
      </w:pPr>
      <w:r>
        <w:rPr>
          <w:rFonts w:cs="Tahoma" w:ascii="Tahoma" w:hAnsi="Tahoma"/>
          <w:b/>
          <w:bCs/>
          <w:sz w:val="20"/>
        </w:rPr>
        <w:t>Základní ustanovení</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Tato smlouva je veřejnoprávní smlouvou uzavřenou dle § 10a odst. 5 zákona č. 250/2000 Sb., o rozpočtových pravidlech územních rozpočtů, ve znění pozdějších předpisů (dále jen „zákon </w:t>
        <w:br/>
        <w:t>č. 250/2000 Sb.“).</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Dotace je ve smyslu zákona č. 320/2001 Sb., o finanční kontrole ve veřejné správě a o změně některých zákonů (zákon o finanční kontrole), ve znění pozdějších předpisů (dále jen „zákon </w:t>
        <w:br/>
        <w:t>o finanční kontrole“), veřejnou finanční podporou a vztahují se na ni ustanovení tohoto zákona.</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Smluvní strany prohlašují, že pro právní vztah založený touto smlouvou jsou stejně jako ustanovení této smlouvy právně závazná ustanovení obsažená ve vyhlášeném dotačním programu </w:t>
      </w:r>
      <w:r>
        <w:rPr>
          <w:rFonts w:cs="Tahoma" w:ascii="Tahoma" w:hAnsi="Tahoma"/>
          <w:bCs w:val="false"/>
          <w:sz w:val="20"/>
          <w:szCs w:val="20"/>
        </w:rPr>
        <w:t>Podpora infrastruktury a propagace cestovního ruchu v Moravskoslezském kraji 2025</w:t>
      </w:r>
      <w:r>
        <w:rPr>
          <w:rFonts w:cs="Tahoma" w:ascii="Tahoma" w:hAnsi="Tahoma"/>
          <w:b w:val="false"/>
          <w:bCs w:val="false"/>
          <w:sz w:val="20"/>
        </w:rPr>
        <w:t xml:space="preserve"> (dále jen „Dotační program“), o jehož vyhlášení rozhodla rada kraje svým usnesením č. ......... ze dne ..........</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Příjemce prohlašuje, že není právnickou osobou, jejímž skutečným majitelem je veřejný funkcionář uvedený v § 2 odst. 1 písm. c) zákona č. 159/2006 Sb., o střetu zájmů, ve znění pozdějších předpisů (dále jen „zákon o střetu zájmů), tj. prezident republiky, člen vlády nebo vedoucí jiného ústředního správního úřadu, v jehož čele není člen vlády. Příjemce bere na vědomí, že pokud je uvedené prohlášení nepravdivé, je tato smlouva v souladu s § 4c zákona o střetu zájmů neplatná. </w:t>
      </w:r>
      <w:r>
        <w:rPr>
          <w:rFonts w:cs="Tahoma" w:ascii="Tahoma" w:hAnsi="Tahoma"/>
          <w:b w:val="false"/>
          <w:bCs w:val="false"/>
          <w:i/>
          <w:iCs/>
          <w:color w:val="3366FF"/>
          <w:sz w:val="20"/>
        </w:rPr>
        <w:t>(uvede se v případě, že příjemcem je právnická osoba)</w:t>
      </w:r>
      <w:r>
        <w:rPr>
          <w:rFonts w:cs="Tahoma" w:ascii="Tahoma" w:hAnsi="Tahoma"/>
          <w:b w:val="false"/>
          <w:bCs w:val="false"/>
          <w:sz w:val="20"/>
        </w:rPr>
        <w:t xml:space="preserve"> </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szCs w:val="20"/>
        </w:rPr>
        <w:t xml:space="preserve">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 </w:t>
      </w:r>
      <w:r>
        <w:rPr>
          <w:rFonts w:cs="Tahoma" w:ascii="Tahoma" w:hAnsi="Tahoma"/>
          <w:b w:val="false"/>
          <w:bCs w:val="false"/>
          <w:i/>
          <w:iCs/>
          <w:color w:val="3366FF"/>
          <w:sz w:val="20"/>
          <w:szCs w:val="20"/>
        </w:rPr>
        <w:t>(uveďte v případě, že příjemcem je právnická osoba)</w:t>
      </w:r>
    </w:p>
    <w:p>
      <w:pPr>
        <w:pStyle w:val="BodyText"/>
        <w:numPr>
          <w:ilvl w:val="0"/>
          <w:numId w:val="11"/>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p>
    <w:p>
      <w:pPr>
        <w:pStyle w:val="BodyText"/>
        <w:spacing w:before="360" w:after="0"/>
        <w:jc w:val="center"/>
        <w:rPr>
          <w:rFonts w:ascii="Tahoma" w:hAnsi="Tahoma" w:cs="Tahoma"/>
          <w:sz w:val="20"/>
        </w:rPr>
      </w:pPr>
      <w:r>
        <w:rPr>
          <w:rFonts w:cs="Tahoma" w:ascii="Tahoma" w:hAnsi="Tahoma"/>
          <w:sz w:val="20"/>
        </w:rPr>
        <w:t>III.</w:t>
      </w:r>
    </w:p>
    <w:p>
      <w:pPr>
        <w:pStyle w:val="BodyText"/>
        <w:jc w:val="center"/>
        <w:rPr>
          <w:rFonts w:ascii="Tahoma" w:hAnsi="Tahoma" w:cs="Tahoma"/>
          <w:sz w:val="20"/>
        </w:rPr>
      </w:pPr>
      <w:r>
        <w:rPr>
          <w:rFonts w:cs="Tahoma" w:ascii="Tahoma" w:hAnsi="Tahoma"/>
          <w:sz w:val="20"/>
        </w:rPr>
        <w:t>Předmět smlouvy</w:t>
      </w:r>
    </w:p>
    <w:p>
      <w:pPr>
        <w:pStyle w:val="BodyText"/>
        <w:numPr>
          <w:ilvl w:val="0"/>
          <w:numId w:val="4"/>
        </w:numPr>
        <w:spacing w:before="120" w:after="0"/>
        <w:ind w:hanging="357" w:start="357" w:end="0"/>
        <w:jc w:val="both"/>
        <w:rPr>
          <w:rFonts w:ascii="Tahoma" w:hAnsi="Tahoma" w:cs="Tahoma"/>
          <w:b w:val="false"/>
          <w:bCs w:val="false"/>
          <w:sz w:val="20"/>
        </w:rPr>
      </w:pPr>
      <w:r>
        <w:rPr>
          <w:rFonts w:cs="Tahoma" w:ascii="Tahoma" w:hAnsi="Tahoma"/>
          <w:b w:val="false"/>
          <w:bCs w:val="false"/>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pPr>
        <w:pStyle w:val="BodyText"/>
        <w:spacing w:before="360" w:after="0"/>
        <w:jc w:val="center"/>
        <w:rPr>
          <w:rFonts w:ascii="Tahoma" w:hAnsi="Tahoma" w:cs="Tahoma"/>
          <w:sz w:val="20"/>
        </w:rPr>
      </w:pPr>
      <w:r>
        <w:rPr>
          <w:rFonts w:cs="Tahoma" w:ascii="Tahoma" w:hAnsi="Tahoma"/>
          <w:sz w:val="20"/>
        </w:rPr>
        <w:t xml:space="preserve">IV. </w:t>
      </w:r>
    </w:p>
    <w:p>
      <w:pPr>
        <w:pStyle w:val="BodyText"/>
        <w:jc w:val="center"/>
        <w:rPr>
          <w:rFonts w:ascii="Tahoma" w:hAnsi="Tahoma" w:cs="Tahoma"/>
          <w:sz w:val="20"/>
        </w:rPr>
      </w:pPr>
      <w:r>
        <w:rPr>
          <w:rFonts w:cs="Tahoma" w:ascii="Tahoma" w:hAnsi="Tahoma"/>
          <w:sz w:val="20"/>
        </w:rPr>
        <w:t>Účelové určení a výše dotace</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Poskytovatel podle této smlouvy poskytne příjemci </w:t>
      </w:r>
      <w:r>
        <w:rPr>
          <w:rFonts w:cs="Tahoma" w:ascii="Tahoma" w:hAnsi="Tahoma"/>
          <w:b w:val="false"/>
          <w:bCs w:val="false"/>
          <w:i/>
          <w:iCs/>
          <w:color w:val="ED7D31"/>
          <w:sz w:val="20"/>
        </w:rPr>
        <w:t>(ne)investiční</w:t>
      </w:r>
      <w:r>
        <w:rPr>
          <w:rFonts w:cs="Tahoma" w:ascii="Tahoma" w:hAnsi="Tahoma"/>
          <w:b w:val="false"/>
          <w:bCs w:val="false"/>
          <w:i/>
          <w:iCs/>
          <w:sz w:val="20"/>
        </w:rPr>
        <w:t xml:space="preserve"> </w:t>
      </w:r>
      <w:r>
        <w:rPr>
          <w:rFonts w:cs="Tahoma" w:ascii="Tahoma" w:hAnsi="Tahoma"/>
          <w:b w:val="false"/>
          <w:bCs w:val="false"/>
          <w:sz w:val="20"/>
        </w:rPr>
        <w:t xml:space="preserve">dotaci v maximální výši ... % celkových skutečně vynaložených uznatelných nákladů na realizaci projektu ... (dále jen „projekt“), maximálně však ve výši ... Kč (slovy … korun českých), </w:t>
      </w:r>
      <w:r>
        <w:rPr>
          <w:rFonts w:cs="Tahoma" w:ascii="Tahoma" w:hAnsi="Tahoma"/>
          <w:b w:val="false"/>
          <w:bCs w:val="false"/>
          <w:color w:val="00B0F0"/>
          <w:sz w:val="20"/>
        </w:rPr>
        <w:t>z toho investiční dotaci maximálně ve výši ... Kč a neinvestiční dotaci maximálně ve výši ... Kč,</w:t>
      </w:r>
      <w:r>
        <w:rPr>
          <w:rFonts w:cs="Tahoma" w:ascii="Tahoma" w:hAnsi="Tahoma"/>
          <w:b w:val="false"/>
          <w:bCs w:val="false"/>
          <w:sz w:val="20"/>
        </w:rPr>
        <w:t xml:space="preserve"> účelově určenou k úhradě uznatelných nákladů projektu vymezených v čl. VI této smlouvy. </w:t>
      </w:r>
      <w:r>
        <w:rPr>
          <w:rFonts w:cs="Tahoma" w:ascii="Tahoma" w:hAnsi="Tahoma"/>
          <w:b w:val="false"/>
          <w:bCs w:val="false"/>
          <w:i/>
          <w:iCs/>
          <w:color w:val="3366FF"/>
          <w:sz w:val="20"/>
        </w:rPr>
        <w:t>(oranžový text – v případě investiční nebo neinvestiční dotace se zvolí příslušná varianta, v případě kombinované dotace se oranžový text vypustí; světle modrý text se uvede v případě kombinované dotace)</w:t>
      </w:r>
      <w:r>
        <w:rPr>
          <w:rFonts w:cs="Tahoma" w:ascii="Tahoma" w:hAnsi="Tahoma"/>
          <w:b w:val="false"/>
          <w:bCs w:val="false"/>
          <w:sz w:val="20"/>
        </w:rPr>
        <w:t xml:space="preserve"> </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Konečná výše dotace bude stanovena s ohledem na skutečnou výši celkových uznatelných nákladů uvedených a doložených v rámci závěrečného vyúčtování.</w:t>
      </w:r>
    </w:p>
    <w:p>
      <w:pPr>
        <w:pStyle w:val="BodyText"/>
        <w:spacing w:before="60" w:after="0"/>
        <w:ind w:start="357" w:end="0"/>
        <w:jc w:val="both"/>
        <w:rPr/>
      </w:pPr>
      <w:r>
        <w:rPr>
          <w:rFonts w:cs="Tahoma" w:ascii="Tahoma" w:hAnsi="Tahoma"/>
          <w:b w:val="false"/>
          <w:bCs w:val="false"/>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pPr>
        <w:pStyle w:val="BodyText"/>
        <w:spacing w:before="60" w:after="0"/>
        <w:ind w:start="357" w:end="0"/>
        <w:jc w:val="both"/>
        <w:rPr>
          <w:rFonts w:ascii="Tahoma" w:hAnsi="Tahoma" w:cs="Tahoma"/>
          <w:b w:val="false"/>
          <w:bCs w:val="false"/>
          <w:sz w:val="20"/>
        </w:rPr>
      </w:pPr>
      <w:r>
        <w:rPr>
          <w:rFonts w:cs="Tahoma" w:ascii="Tahoma" w:hAnsi="Tahoma"/>
          <w:b w:val="false"/>
          <w:bCs w:val="false"/>
          <w:sz w:val="20"/>
        </w:rPr>
        <w:t>Pokud celkové skutečné uznatelné náklady projektu překročí celkové předpokládané uznatelné náklady, konečná výše dotace se nezvyšuje a příjemce obdrží částku uvedenou v odstavci 1 tohoto článku smlouvy.</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Účelem poskytnutí dotace je podpora realizace projektu příjemcem za podmínek stanovených v této smlouvě.</w:t>
      </w:r>
    </w:p>
    <w:p>
      <w:pPr>
        <w:pStyle w:val="BodyText"/>
        <w:spacing w:before="360" w:after="0"/>
        <w:jc w:val="center"/>
        <w:rPr>
          <w:rFonts w:ascii="Tahoma" w:hAnsi="Tahoma" w:cs="Tahoma"/>
          <w:sz w:val="20"/>
        </w:rPr>
      </w:pPr>
      <w:r>
        <w:rPr>
          <w:rFonts w:cs="Tahoma" w:ascii="Tahoma" w:hAnsi="Tahoma"/>
          <w:sz w:val="20"/>
        </w:rPr>
        <w:t>V.</w:t>
      </w:r>
    </w:p>
    <w:p>
      <w:pPr>
        <w:pStyle w:val="BodyText"/>
        <w:ind w:start="360" w:end="0"/>
        <w:jc w:val="center"/>
        <w:rPr>
          <w:rFonts w:ascii="Tahoma" w:hAnsi="Tahoma" w:cs="Tahoma"/>
          <w:sz w:val="20"/>
        </w:rPr>
      </w:pPr>
      <w:r>
        <w:rPr>
          <w:rFonts w:cs="Tahoma" w:ascii="Tahoma" w:hAnsi="Tahoma"/>
          <w:sz w:val="20"/>
        </w:rPr>
        <w:t>Závazky smluvních stran</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Poskytovatel se zavazuje poskytnout příjemci dotaci na projekt převodem na účet </w:t>
      </w:r>
      <w:r>
        <w:rPr>
          <w:rFonts w:cs="Tahoma" w:ascii="Tahoma" w:hAnsi="Tahoma"/>
          <w:b w:val="false"/>
          <w:bCs w:val="false"/>
          <w:i/>
          <w:iCs/>
          <w:sz w:val="20"/>
        </w:rPr>
        <w:t xml:space="preserve">příjemce uvedený v čl. I této smlouvy </w:t>
      </w:r>
      <w:r>
        <w:rPr>
          <w:rFonts w:cs="Tahoma" w:ascii="Tahoma" w:hAnsi="Tahoma"/>
          <w:b w:val="false"/>
          <w:bCs w:val="false"/>
          <w:i/>
          <w:sz w:val="20"/>
        </w:rPr>
        <w:t xml:space="preserve">/ </w:t>
      </w:r>
      <w:r>
        <w:rPr>
          <w:rFonts w:cs="Tahoma" w:ascii="Tahoma" w:hAnsi="Tahoma"/>
          <w:b w:val="false"/>
          <w:bCs w:val="false"/>
          <w:i/>
          <w:iCs/>
          <w:sz w:val="20"/>
        </w:rPr>
        <w:t>zřizovatele příjemce, kterým je ………., konkrétně převodem na jeho účet vedený u …… banky, č. ú. ……..,</w:t>
      </w:r>
      <w:r>
        <w:rPr>
          <w:rFonts w:cs="Tahoma" w:ascii="Tahoma" w:hAnsi="Tahoma"/>
          <w:b w:val="false"/>
          <w:bCs w:val="false"/>
          <w:iCs/>
          <w:sz w:val="20"/>
        </w:rPr>
        <w:t xml:space="preserve"> </w:t>
      </w:r>
      <w:r>
        <w:rPr>
          <w:rFonts w:cs="Tahoma" w:ascii="Tahoma" w:hAnsi="Tahoma"/>
          <w:b w:val="false"/>
          <w:bCs w:val="false"/>
          <w:iCs/>
          <w:sz w:val="20"/>
          <w:szCs w:val="20"/>
        </w:rPr>
        <w:t xml:space="preserve">ve dvou splátkách. První splátka ve výši </w:t>
      </w:r>
      <w:r>
        <w:rPr>
          <w:rFonts w:cs="Tahoma" w:ascii="Tahoma" w:hAnsi="Tahoma"/>
          <w:bCs w:val="false"/>
          <w:iCs/>
          <w:sz w:val="20"/>
          <w:szCs w:val="20"/>
        </w:rPr>
        <w:t>50 %</w:t>
      </w:r>
      <w:r>
        <w:rPr>
          <w:rFonts w:cs="Tahoma" w:ascii="Tahoma" w:hAnsi="Tahoma"/>
          <w:b w:val="false"/>
          <w:bCs w:val="false"/>
          <w:iCs/>
          <w:sz w:val="20"/>
          <w:szCs w:val="20"/>
        </w:rPr>
        <w:t xml:space="preserve"> maximální částky dotace dle čl. IV odst. 1 této smlouvy, tedy … Kč (slovy … korun českých), bude na účet </w:t>
      </w:r>
      <w:r>
        <w:rPr>
          <w:rFonts w:cs="Tahoma" w:ascii="Tahoma" w:hAnsi="Tahoma"/>
          <w:b w:val="false"/>
          <w:bCs w:val="false"/>
          <w:i/>
          <w:iCs/>
          <w:sz w:val="20"/>
          <w:szCs w:val="20"/>
        </w:rPr>
        <w:t>příjemce / zřizovatele příjemce</w:t>
      </w:r>
      <w:r>
        <w:rPr>
          <w:rFonts w:cs="Tahoma" w:ascii="Tahoma" w:hAnsi="Tahoma"/>
          <w:b w:val="false"/>
          <w:bCs w:val="false"/>
          <w:iCs/>
          <w:sz w:val="20"/>
          <w:szCs w:val="20"/>
        </w:rPr>
        <w:t xml:space="preserve"> převedena do 30 dnů od nabytí účinnosti této smlouvy. Druhá splátka bude na účet </w:t>
      </w:r>
      <w:r>
        <w:rPr>
          <w:rFonts w:cs="Tahoma" w:ascii="Tahoma" w:hAnsi="Tahoma"/>
          <w:b w:val="false"/>
          <w:bCs w:val="false"/>
          <w:i/>
          <w:iCs/>
          <w:sz w:val="20"/>
          <w:szCs w:val="20"/>
        </w:rPr>
        <w:t>příjemce / zřizovatele příjemce</w:t>
      </w:r>
      <w:r>
        <w:rPr>
          <w:rFonts w:cs="Tahoma" w:ascii="Tahoma" w:hAnsi="Tahoma"/>
          <w:b w:val="false"/>
          <w:bCs w:val="false"/>
          <w:iCs/>
          <w:sz w:val="20"/>
          <w:szCs w:val="20"/>
        </w:rPr>
        <w:t xml:space="preserve"> převedena do 60 dnů ode dne předložení bezchybného závěrečného vyúčtování. </w:t>
      </w:r>
      <w:r>
        <w:rPr>
          <w:rFonts w:cs="Tahoma" w:ascii="Tahoma" w:hAnsi="Tahoma"/>
          <w:b w:val="false"/>
          <w:bCs w:val="false"/>
          <w:sz w:val="20"/>
          <w:szCs w:val="20"/>
        </w:rPr>
        <w:t>V případě, že bude bezchybné závěrečné vyúčtování předloženo v průběhu roku 2025, začne lhůta pro vyplacení druhé splátky dotace běžet 1. 1. 2026.</w:t>
      </w:r>
      <w:r>
        <w:rPr>
          <w:rFonts w:cs="Tahoma" w:ascii="Tahoma" w:hAnsi="Tahoma"/>
          <w:b w:val="false"/>
          <w:bCs w:val="false"/>
          <w:iCs/>
          <w:sz w:val="20"/>
          <w:szCs w:val="20"/>
        </w:rPr>
        <w:t xml:space="preserve"> Výše splátky bude stanovena v souladu s čl. IV odst. 2 této smlouvy. </w:t>
      </w:r>
      <w:r>
        <w:rPr>
          <w:rFonts w:cs="Tahoma" w:ascii="Tahoma" w:hAnsi="Tahoma"/>
          <w:b w:val="false"/>
          <w:bCs w:val="false"/>
          <w:i/>
          <w:iCs/>
          <w:color w:val="3366FF"/>
          <w:sz w:val="20"/>
        </w:rPr>
        <w:t>(text psaný kurzívou - v případě, že příjemcem je příspěvková organizace obce, použije se varianta za lomítkem)</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při použití peněžních prostředků splnit tyto podmínky: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řídit se při použití poskytnuté dotace touto smlouvou, podmínkami uvedenými v Dotačním programu a právními předpisy,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použít poskytnutou dotaci v souladu s jejím účelovým určením dle čl. IV této smlouvy a pouze k úhradě uznatelných nákladů vymezených v čl. VI této smlouvy,</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nepřekročit stanovený procentní podíl poskytovatele na skutečně vynaložených uznatelných nákladech projektu,</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dodržet nákladový rozpočet, který tvoří přílohu č. 1 této smlouvy a je její nedílnou součástí. Od tohoto nákladového rozpočtu je možno se odchýlit jen následujícím způsobem:</w:t>
      </w:r>
    </w:p>
    <w:p>
      <w:pPr>
        <w:pStyle w:val="Normal"/>
        <w:numPr>
          <w:ilvl w:val="0"/>
          <w:numId w:val="10"/>
        </w:numPr>
        <w:tabs>
          <w:tab w:val="clear" w:pos="708"/>
          <w:tab w:val="left" w:pos="1080" w:leader="none"/>
        </w:tabs>
        <w:ind w:hanging="360" w:start="1080" w:end="0"/>
        <w:jc w:val="both"/>
        <w:rPr>
          <w:rFonts w:ascii="Tahoma" w:hAnsi="Tahoma" w:cs="Tahoma"/>
          <w:sz w:val="20"/>
        </w:rPr>
      </w:pPr>
      <w:r>
        <w:rPr>
          <w:rFonts w:cs="Tahoma" w:ascii="Tahoma" w:hAnsi="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dotace na celkových uznatelných nákladech projektu a změny nebudou mít vliv na stanovené účelové určení,</w:t>
      </w:r>
    </w:p>
    <w:p>
      <w:pPr>
        <w:pStyle w:val="Normal"/>
        <w:numPr>
          <w:ilvl w:val="0"/>
          <w:numId w:val="10"/>
        </w:numPr>
        <w:tabs>
          <w:tab w:val="clear" w:pos="708"/>
          <w:tab w:val="left" w:pos="1080" w:leader="none"/>
        </w:tabs>
        <w:ind w:hanging="360" w:start="1080" w:end="0"/>
        <w:jc w:val="both"/>
        <w:rPr>
          <w:rFonts w:ascii="Tahoma" w:hAnsi="Tahoma" w:cs="Tahoma"/>
          <w:sz w:val="20"/>
        </w:rPr>
      </w:pPr>
      <w:r>
        <w:rPr>
          <w:rFonts w:cs="Tahoma" w:ascii="Tahoma" w:hAnsi="Tahoma"/>
          <w:sz w:val="20"/>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Pr>
          <w:rFonts w:cs="Tahoma" w:ascii="Tahoma" w:hAnsi="Tahoma"/>
          <w:color w:val="00B0F0"/>
          <w:sz w:val="20"/>
        </w:rPr>
        <w:t>; přesuny mezi investičními a neinvestičními náklady nejsou možné</w:t>
      </w:r>
      <w:r>
        <w:rPr>
          <w:rFonts w:cs="Tahoma" w:ascii="Tahoma" w:hAnsi="Tahoma"/>
          <w:sz w:val="20"/>
        </w:rPr>
        <w:t xml:space="preserve">, </w:t>
      </w:r>
      <w:r>
        <w:rPr>
          <w:rFonts w:cs="Tahoma" w:ascii="Tahoma" w:hAnsi="Tahoma"/>
          <w:bCs/>
          <w:i/>
          <w:iCs/>
          <w:color w:val="3366FF"/>
          <w:sz w:val="20"/>
        </w:rPr>
        <w:t>(světle modrý text se uvede v případě kombinované dotace)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vrátit nevyčerpané finanční prostředky poskytnuté dotace, jsou-li vyšší než 10 Kč,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 případě, že realizaci projektu nezahájí nebo ji přeruší z důvodu, že projekt nebude dále uskutečňovat, do 7 kalendářních dnů ohlásit tuto skutečnost poskytovateli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nepřevést poskytnutou dotaci na jiný právní subjekt.</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dodržet tyto podmínky související s účelem, na nějž byla dotace poskytnuta:</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řídit se při vyúčtování poskytnuté dotace touto smlouvou, podmínkami uvedenými v Dotačním programu a právními předpisy,</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zrealizovat projekt vlastním jménem, na vlastní účet a na vlastní odpovědnost a naplnit účelové určení dle čl. IV této smlouvy,</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dosáhnout stanoveného účelu, tedy zrealizovat projekt, nejpozději do </w:t>
      </w:r>
      <w:r>
        <w:rPr>
          <w:rFonts w:cs="Tahoma" w:ascii="Tahoma" w:hAnsi="Tahoma"/>
          <w:b/>
          <w:sz w:val="20"/>
        </w:rPr>
        <w:t>30. 6 2026</w:t>
      </w:r>
      <w:r>
        <w:rPr>
          <w:rFonts w:cs="Tahoma" w:ascii="Tahoma" w:hAnsi="Tahoma"/>
          <w:sz w:val="20"/>
        </w:rPr>
        <w: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Povinnost dle tohoto ustanovení se nevztahuje na příjemce, kteří nemají povinnost vést účetnictví dle zákona o účetnictví nebo vedou jednoduché účetnictví dle zákona o účetnictví,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označit originály všech účetních dokladů a kopie všech elektronických faktur vztahujících se k projektu názvem projektu, nebo jiným označením, které projekt jasně identifikuje, u dokladů, k jejichž úhradě byla nebo má být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na požádání umožnit poskytovateli nahlédnutí do všech účetních dokladů týkajících se projektu,</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předložit poskytovateli průběžné vyúčtování realizace projektu zpracované k 31. 12. 2025 nejpozději do 15. 1. následujícího kalendářního roku. Způsob a okamžik předložení průběžného vyúčtování jsou upraveny ve formuláři průběžného vyúčtování projektu, který příjemce vyplní v elektronickém systému ePodatelna a jehož vzor je přílohou podmínek Dotačního programu,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předložit poskytovateli průběžné vyúčtování dle písm. g) tohoto odstavce smlouvy na formulářích předepsaných pro Dotační program, úplné (obsahující všechny náležitosti vyžadované předepsanými formuláři včetně příloh, pokud se vztahují k danému příjemci a projektu) a bezchybné. V rámci závěrečného vyúčtování již příjemce není povinen předložit kopie účetních dokladů a dokladů o jejich úhradě, které předložil v rámci průběžného vyúčtování,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předložit poskytovateli závěrečné vyúčtování celého realizovaného projektu, jež je finančním vypořádáním ve smyslu § 10a odst. 1 písm. d) zákona č. 250/2000 Sb., </w:t>
      </w:r>
      <w:r>
        <w:rPr>
          <w:rFonts w:cs="Tahoma" w:ascii="Tahoma" w:hAnsi="Tahoma"/>
          <w:b/>
          <w:sz w:val="20"/>
        </w:rPr>
        <w:t xml:space="preserve">nejpozději do </w:t>
      </w:r>
      <w:r>
        <w:rPr>
          <w:rFonts w:cs="Tahoma" w:ascii="Tahoma" w:hAnsi="Tahoma"/>
          <w:b/>
          <w:iCs/>
          <w:sz w:val="20"/>
        </w:rPr>
        <w:t>31. 7. 2026</w:t>
      </w:r>
      <w:r>
        <w:rPr>
          <w:rFonts w:cs="Tahoma" w:ascii="Tahoma" w:hAnsi="Tahoma"/>
          <w:b/>
          <w:sz w:val="20"/>
        </w:rPr>
        <w:t>.</w:t>
      </w:r>
      <w:r>
        <w:rPr>
          <w:rFonts w:cs="Tahoma" w:ascii="Tahoma" w:hAnsi="Tahoma"/>
          <w:i/>
          <w:iCs/>
          <w:color w:val="3366FF"/>
          <w:sz w:val="20"/>
        </w:rPr>
        <w:t xml:space="preserve"> </w:t>
      </w:r>
      <w:bookmarkStart w:id="0" w:name="_Hlk147479556"/>
      <w:r>
        <w:rPr>
          <w:rFonts w:cs="Tahoma" w:ascii="Tahoma" w:hAnsi="Tahoma"/>
          <w:sz w:val="20"/>
          <w:szCs w:val="20"/>
        </w:rPr>
        <w:t>Způsob a okamžik předložení závěrečného vyúčtování jsou upraveny ve formuláři závěrečného vyúčtování projektu, který příjemce vyplní v elektronickém systému ePodatelna a jehož vzor je přílohou podmínek Dotačního programu</w:t>
      </w:r>
      <w:bookmarkEnd w:id="0"/>
      <w:r>
        <w:rPr>
          <w:rFonts w:cs="Tahoma" w:ascii="Tahoma" w:hAnsi="Tahoma"/>
          <w:sz w:val="20"/>
        </w:rPr>
        <w:t>.</w:t>
      </w:r>
    </w:p>
    <w:p>
      <w:pPr>
        <w:pStyle w:val="Normal"/>
        <w:numPr>
          <w:ilvl w:val="1"/>
          <w:numId w:val="5"/>
        </w:numPr>
        <w:tabs>
          <w:tab w:val="clear" w:pos="708"/>
          <w:tab w:val="left" w:pos="720" w:leader="none"/>
        </w:tabs>
        <w:spacing w:before="60" w:after="0"/>
        <w:ind w:hanging="357" w:start="714" w:end="0"/>
        <w:jc w:val="both"/>
        <w:rPr>
          <w:rFonts w:ascii="Tahoma" w:hAnsi="Tahoma" w:cs="Tahoma"/>
          <w:sz w:val="20"/>
          <w:szCs w:val="20"/>
        </w:rPr>
      </w:pPr>
      <w:r>
        <w:rPr>
          <w:rFonts w:cs="Tahoma" w:ascii="Tahoma" w:hAnsi="Tahoma"/>
          <w:sz w:val="20"/>
        </w:rPr>
        <w:t>předložit poskytovateli závěrečné vyúčtování celého realizovaného projektu dle písm. i)</w:t>
      </w:r>
      <w:r>
        <w:rPr>
          <w:rFonts w:cs="Tahoma" w:ascii="Tahoma" w:hAnsi="Tahoma"/>
          <w:bCs/>
          <w:i/>
          <w:iCs/>
          <w:color w:val="3366FF"/>
          <w:sz w:val="20"/>
        </w:rPr>
        <w:t xml:space="preserve"> </w:t>
      </w:r>
      <w:r>
        <w:rPr>
          <w:rFonts w:cs="Tahoma" w:ascii="Tahoma" w:hAnsi="Tahoma"/>
          <w:sz w:val="20"/>
        </w:rPr>
        <w:t xml:space="preserve">tohoto odstavce smlouvy na formulářích předepsaných pro Dotační program, úplné (obsahující všechny náležitosti vyžadované předepsanými formuláři včetně příloh, pokud se vztahují k danému příjemci a projektu) a bezchybné,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řádně v souladu s právními předpisy uschovat originály všech účetních dokladů vztahujících se k projektu,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Pr>
          <w:rFonts w:cs="Tahoma" w:ascii="Tahoma" w:hAnsi="Tahoma"/>
          <w:iCs/>
          <w:sz w:val="20"/>
        </w:rPr>
        <w:t>sídle</w:t>
      </w:r>
      <w:r>
        <w:rPr>
          <w:rFonts w:cs="Tahoma" w:ascii="Tahoma" w:hAnsi="Tahoma"/>
          <w:sz w:val="20"/>
        </w:rPr>
        <w:t xml:space="preserve"> příjemce, v místě realizace projektu nebo v sídle poskytovatele,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při peněžních operacích dle této smlouvy převádět peněžní prostředky na účet poskytovatele uvedený v čl. I této smlouvy prostřednictvím účtu zřizovatele </w:t>
      </w:r>
      <w:r>
        <w:rPr>
          <w:rFonts w:cs="Tahoma" w:ascii="Tahoma" w:hAnsi="Tahoma"/>
          <w:i/>
          <w:color w:val="3366FF"/>
          <w:sz w:val="20"/>
        </w:rPr>
        <w:t xml:space="preserve">(„prostřednictvím účtu zřizovatele“ se uvede, je-li příjemcem příspěvková organizace obce) </w:t>
      </w:r>
      <w:r>
        <w:rPr>
          <w:rFonts w:cs="Tahoma" w:ascii="Tahoma" w:hAnsi="Tahoma"/>
          <w:sz w:val="20"/>
        </w:rPr>
        <w:t xml:space="preserve">a při těchto peněžních operacích vždy uvádět variabilní symbol … </w:t>
      </w:r>
      <w:r>
        <w:rPr>
          <w:rFonts w:cs="Tahoma" w:ascii="Tahoma" w:hAnsi="Tahoma"/>
          <w:i/>
          <w:iCs/>
          <w:color w:val="3366FF"/>
          <w:sz w:val="20"/>
          <w:szCs w:val="20"/>
        </w:rPr>
        <w:t>(desetimístný – rok poskytnutí, účelový znak, číslo organizace – např. 0820208959)</w:t>
      </w:r>
      <w:r>
        <w:rPr>
          <w:rFonts w:cs="Tahoma" w:ascii="Tahoma" w:hAnsi="Tahoma"/>
          <w:sz w:val="20"/>
        </w:rPr>
        <w:t xml:space="preserve">, </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nepřevést realizaci projektu na jiný právní subjekt,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i/>
          <w:iCs/>
          <w:color w:val="3366FF"/>
          <w:sz w:val="20"/>
          <w:u w:val="single"/>
        </w:rPr>
        <w:t>V případě poskytnutí dotace investičního, nebo kombinovaného charakteru</w:t>
      </w:r>
      <w:r>
        <w:rPr>
          <w:rFonts w:cs="Tahoma" w:ascii="Tahoma" w:hAnsi="Tahoma"/>
          <w:color w:val="0000FF"/>
          <w:sz w:val="20"/>
        </w:rPr>
        <w:t>:</w:t>
      </w:r>
    </w:p>
    <w:p>
      <w:pPr>
        <w:pStyle w:val="Normal"/>
        <w:ind w:start="720" w:end="0"/>
        <w:jc w:val="both"/>
        <w:rPr/>
      </w:pPr>
      <w:r>
        <w:rPr>
          <w:rFonts w:cs="Tahoma" w:ascii="Tahoma" w:hAnsi="Tahoma"/>
          <w:sz w:val="20"/>
        </w:rPr>
        <w:t>po dobu 5 let od ukončení realizace projektu nezcizit majetek pořízený nebo technicky zhodnocený z prostředků získaných z dotace poskytnuté na základě této smlouvy a zajistit jeho plnou funkčnost,</w:t>
      </w:r>
    </w:p>
    <w:p>
      <w:pPr>
        <w:pStyle w:val="Normal"/>
        <w:ind w:start="720" w:end="0"/>
        <w:jc w:val="both"/>
        <w:rPr>
          <w:rFonts w:ascii="Tahoma" w:hAnsi="Tahoma" w:cs="Tahoma"/>
          <w:i/>
          <w:i/>
          <w:iCs/>
          <w:color w:val="0000FF"/>
          <w:sz w:val="20"/>
          <w:u w:val="single"/>
        </w:rPr>
      </w:pPr>
      <w:r>
        <w:rPr>
          <w:rFonts w:cs="Tahoma" w:ascii="Tahoma" w:hAnsi="Tahoma"/>
          <w:i/>
          <w:iCs/>
          <w:color w:val="3366FF"/>
          <w:sz w:val="20"/>
          <w:u w:val="single"/>
        </w:rPr>
        <w:t>V případě poskytnutí dotace neinvestičního charakteru</w:t>
      </w:r>
      <w:r>
        <w:rPr>
          <w:rFonts w:cs="Tahoma" w:ascii="Tahoma" w:hAnsi="Tahoma"/>
          <w:color w:val="0000FF"/>
          <w:sz w:val="20"/>
        </w:rPr>
        <w:t>:</w:t>
      </w:r>
    </w:p>
    <w:p>
      <w:pPr>
        <w:pStyle w:val="Zkladntextodsazen3"/>
        <w:tabs>
          <w:tab w:val="clear" w:pos="360"/>
        </w:tabs>
        <w:ind w:start="720" w:end="0"/>
        <w:rPr/>
      </w:pPr>
      <w:r>
        <w:rPr>
          <w:rFonts w:cs="Tahoma" w:ascii="Tahoma" w:hAnsi="Tahoma"/>
          <w:sz w:val="20"/>
        </w:rPr>
        <w:t>po dobu 5 let od ukončení realizace projektu nezcizit drobný dlouhodobý nehmotný a hmotný majetek pořízený z prostředků získaných z dotace poskytnuté na základě této smlouvy a zajistit jeho plnou funkčnost,</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neprodleně, nejpozději však do 7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neprodleně, nejpozději však do 7 kalendářních dnů, informovat poskytovatele o vlastní přeměně nebo zrušení s likvidací, v případě přeměny i o tom, na který subjekt přejdou práva a povinnosti z této smlouvy, </w:t>
      </w:r>
      <w:r>
        <w:rPr>
          <w:rFonts w:cs="Tahoma" w:ascii="Tahoma" w:hAnsi="Tahoma"/>
          <w:bCs/>
          <w:i/>
          <w:iCs/>
          <w:color w:val="3366FF"/>
          <w:sz w:val="20"/>
        </w:rPr>
        <w:t xml:space="preserve">[je-li příjemcem obec, </w:t>
      </w:r>
      <w:r>
        <w:rPr>
          <w:rFonts w:cs="Tahoma" w:ascii="Tahoma" w:hAnsi="Tahoma"/>
          <w:i/>
          <w:iCs/>
          <w:color w:val="3366FF"/>
          <w:sz w:val="20"/>
        </w:rPr>
        <w:t xml:space="preserve">uvede se: „…o vlastní přeměně (sloučení obcí, připojení obce, oddělení části obce) a o tom, na který subjekt…“; </w:t>
      </w:r>
      <w:r>
        <w:rPr>
          <w:rFonts w:cs="Tahoma" w:ascii="Tahoma" w:hAnsi="Tahoma"/>
          <w:bCs/>
          <w:i/>
          <w:iCs/>
          <w:color w:val="3366FF"/>
          <w:sz w:val="20"/>
        </w:rPr>
        <w:t>je-li příjemcem příspěvková organizace obce, uvede se: „…o vlastní přeměně nebo zrušení a o tom, na který subjekt…“; je-li příjemcem fyzická osoba, toto ustanovení se vypustí]</w:t>
      </w:r>
    </w:p>
    <w:p>
      <w:pPr>
        <w:pStyle w:val="Normal"/>
        <w:numPr>
          <w:ilvl w:val="1"/>
          <w:numId w:val="5"/>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dodržovat podmínky povinné publicity stanovené v čl. VII této smlouvy. </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bookmarkStart w:id="1" w:name="_Hlk116287756"/>
      <w:bookmarkEnd w:id="1"/>
      <w:r>
        <w:rPr>
          <w:rFonts w:cs="Tahoma" w:ascii="Tahoma" w:hAnsi="Tahoma"/>
          <w:b w:val="false"/>
          <w:bCs w:val="false"/>
          <w:sz w:val="20"/>
        </w:rPr>
        <w:t xml:space="preserve">Porušení podmínek uvedených v odst. 3 písm. </w:t>
      </w:r>
      <w:r>
        <w:rPr>
          <w:rFonts w:cs="Tahoma" w:ascii="Tahoma" w:hAnsi="Tahoma"/>
          <w:b w:val="false"/>
          <w:bCs w:val="false"/>
          <w:i/>
          <w:sz w:val="20"/>
        </w:rPr>
        <w:t xml:space="preserve">g), h), i), j), m), p), q) a r) / g), h), i), j), m), p) a q) </w:t>
      </w:r>
      <w:r>
        <w:rPr>
          <w:rFonts w:cs="Tahoma" w:ascii="Tahoma" w:hAnsi="Tahoma"/>
          <w:b w:val="false"/>
          <w:bCs w:val="false"/>
          <w:sz w:val="20"/>
        </w:rPr>
        <w:t xml:space="preserve"> je považováno za porušení méně závažné ve smyslu ust. § 10a odst. 6 zákona č. 250/2000 Sb. Odvod za tato porušení rozpočtové kázně se stanoví následujícím způsobem:</w:t>
      </w:r>
    </w:p>
    <w:p>
      <w:pPr>
        <w:pStyle w:val="Normal"/>
        <w:numPr>
          <w:ilvl w:val="1"/>
          <w:numId w:val="5"/>
        </w:numPr>
        <w:tabs>
          <w:tab w:val="clear" w:pos="708"/>
          <w:tab w:val="left" w:pos="720" w:leader="none"/>
        </w:tabs>
        <w:spacing w:before="60" w:after="0"/>
        <w:ind w:hanging="357" w:start="714" w:end="0"/>
        <w:jc w:val="both"/>
        <w:rPr>
          <w:rFonts w:ascii="Tahoma" w:hAnsi="Tahoma" w:cs="Tahoma"/>
          <w:bCs/>
          <w:sz w:val="20"/>
        </w:rPr>
      </w:pPr>
      <w:bookmarkStart w:id="2" w:name="_Hlk116287756"/>
      <w:bookmarkEnd w:id="2"/>
      <w:r>
        <w:rPr>
          <w:rFonts w:cs="Tahoma" w:ascii="Tahoma" w:hAnsi="Tahoma"/>
          <w:bCs/>
          <w:sz w:val="20"/>
        </w:rPr>
        <w:t>Předložení vyúčtování podle odst. 3 písm. g) a i) po stanovené lhůtě:</w:t>
      </w:r>
    </w:p>
    <w:p>
      <w:pPr>
        <w:pStyle w:val="Normal"/>
        <w:tabs>
          <w:tab w:val="clear" w:pos="708"/>
          <w:tab w:val="left" w:pos="5580" w:leader="none"/>
        </w:tabs>
        <w:spacing w:before="60" w:after="0"/>
        <w:ind w:start="720" w:end="0"/>
        <w:jc w:val="both"/>
        <w:rPr/>
      </w:pPr>
      <w:r>
        <w:rPr>
          <w:rFonts w:cs="Tahoma" w:ascii="Tahoma" w:hAnsi="Tahoma"/>
          <w:bCs/>
          <w:sz w:val="20"/>
        </w:rPr>
        <w:t>do 7 kalendářních dnů</w:t>
        <w:tab/>
        <w:t xml:space="preserve"> </w:t>
        <w:tab/>
        <w:tab/>
        <w:t>1.500 Kč,</w:t>
      </w:r>
    </w:p>
    <w:p>
      <w:pPr>
        <w:pStyle w:val="Normal"/>
        <w:tabs>
          <w:tab w:val="clear" w:pos="708"/>
          <w:tab w:val="left" w:pos="5580" w:leader="none"/>
        </w:tabs>
        <w:spacing w:before="60" w:after="0"/>
        <w:ind w:start="720" w:end="0"/>
        <w:jc w:val="both"/>
        <w:rPr/>
      </w:pPr>
      <w:r>
        <w:rPr>
          <w:rFonts w:cs="Tahoma" w:ascii="Tahoma" w:hAnsi="Tahoma"/>
          <w:bCs/>
          <w:sz w:val="20"/>
        </w:rPr>
        <w:t>od 8 do 15 kalendářních dnů</w:t>
        <w:tab/>
        <w:tab/>
        <w:tab/>
        <w:t>3.000 Kč,</w:t>
      </w:r>
    </w:p>
    <w:p>
      <w:pPr>
        <w:pStyle w:val="Normal"/>
        <w:tabs>
          <w:tab w:val="clear" w:pos="708"/>
          <w:tab w:val="left" w:pos="5580" w:leader="none"/>
        </w:tabs>
        <w:spacing w:before="60" w:after="0"/>
        <w:ind w:start="720" w:end="0"/>
        <w:jc w:val="both"/>
        <w:rPr/>
      </w:pPr>
      <w:r>
        <w:rPr>
          <w:rFonts w:cs="Tahoma" w:ascii="Tahoma" w:hAnsi="Tahoma"/>
          <w:bCs/>
          <w:sz w:val="20"/>
        </w:rPr>
        <w:t>od 16 do 30 kalendářních dnů</w:t>
        <w:tab/>
        <w:tab/>
        <w:tab/>
        <w:t>5.000 Kč,</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h) spočívající ve formálních nedostatcích průběžného vyúčtování</w:t>
        <w:tab/>
        <w:tab/>
        <w:tab/>
        <w:t>10 %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j) spočívající ve formálních nedostatcích závěrečného vyúčtování</w:t>
        <w:tab/>
        <w:tab/>
        <w:tab/>
        <w:t>10 %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m)</w:t>
        <w:tab/>
        <w:t xml:space="preserve">  </w:t>
        <w:tab/>
        <w:t xml:space="preserve">  1.000 Kč,</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p)</w:t>
        <w:tab/>
        <w:t xml:space="preserve">  </w:t>
        <w:tab/>
        <w:t xml:space="preserve">  2 % poskytnuté dotace,</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q)</w:t>
        <w:tab/>
        <w:tab/>
        <w:tab/>
        <w:t xml:space="preserve">10 % poskytnuté dotace, </w:t>
      </w:r>
      <w:r>
        <w:rPr>
          <w:rFonts w:cs="Tahoma" w:ascii="Tahoma" w:hAnsi="Tahoma"/>
          <w:bCs/>
          <w:i/>
          <w:iCs/>
          <w:color w:val="3366FF"/>
          <w:sz w:val="20"/>
        </w:rPr>
        <w:t>[je-li příjemcem fyzická osoba, toto ustanovení se vypustí]</w:t>
      </w:r>
    </w:p>
    <w:p>
      <w:pPr>
        <w:pStyle w:val="Normal"/>
        <w:numPr>
          <w:ilvl w:val="1"/>
          <w:numId w:val="5"/>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 xml:space="preserve">Porušení každé podmínky, na niž se odkazuje v odst. 3 písm. </w:t>
      </w:r>
      <w:r>
        <w:rPr>
          <w:rFonts w:cs="Tahoma" w:ascii="Tahoma" w:hAnsi="Tahoma"/>
          <w:bCs/>
          <w:i/>
          <w:iCs/>
          <w:sz w:val="20"/>
        </w:rPr>
        <w:t>r)</w:t>
      </w:r>
      <w:r>
        <w:rPr>
          <w:rFonts w:cs="Tahoma" w:ascii="Tahoma" w:hAnsi="Tahoma"/>
          <w:bCs/>
          <w:sz w:val="20"/>
        </w:rPr>
        <w:t xml:space="preserve"> / </w:t>
      </w:r>
      <w:r>
        <w:rPr>
          <w:rFonts w:cs="Tahoma" w:ascii="Tahoma" w:hAnsi="Tahoma"/>
          <w:bCs/>
          <w:i/>
          <w:iCs/>
          <w:sz w:val="20"/>
        </w:rPr>
        <w:t>q)</w:t>
      </w:r>
      <w:r>
        <w:rPr>
          <w:rFonts w:cs="Tahoma" w:ascii="Tahoma" w:hAnsi="Tahoma"/>
          <w:bCs/>
          <w:sz w:val="20"/>
        </w:rPr>
        <w:t xml:space="preserve">  5 % poskytnuté dotace.</w:t>
      </w:r>
    </w:p>
    <w:p>
      <w:pPr>
        <w:pStyle w:val="Normal"/>
        <w:tabs>
          <w:tab w:val="clear" w:pos="708"/>
          <w:tab w:val="left" w:pos="5580" w:leader="none"/>
        </w:tabs>
        <w:spacing w:before="60" w:after="0"/>
        <w:ind w:start="714" w:end="0"/>
        <w:jc w:val="both"/>
        <w:rPr>
          <w:rFonts w:ascii="Tahoma" w:hAnsi="Tahoma" w:cs="Tahoma"/>
          <w:bCs/>
          <w:sz w:val="20"/>
        </w:rPr>
      </w:pPr>
      <w:r>
        <w:rPr>
          <w:rFonts w:eastAsia="Tahoma" w:cs="Tahoma" w:ascii="Tahoma" w:hAnsi="Tahoma"/>
          <w:bCs/>
          <w:sz w:val="20"/>
        </w:rPr>
        <w:t xml:space="preserve"> </w:t>
      </w:r>
      <w:r>
        <w:rPr>
          <w:rFonts w:cs="Tahoma" w:ascii="Tahoma" w:hAnsi="Tahoma"/>
          <w:bCs/>
          <w:i/>
          <w:iCs/>
          <w:color w:val="3366FF"/>
          <w:sz w:val="20"/>
        </w:rPr>
        <w:t>(text psaný kurzívou – varianta za lomítkem se použije ve smlouvě s fyzickou osobou)</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Poskytovatel prohlašuje, že poskytnutí dotace podle této smlouvy je poskytnutím podpory </w:t>
      </w:r>
      <w:r>
        <w:rPr>
          <w:rFonts w:cs="Tahoma" w:ascii="Tahoma" w:hAnsi="Tahoma"/>
          <w:b w:val="false"/>
          <w:bCs w:val="false"/>
          <w:i/>
          <w:iCs/>
          <w:sz w:val="20"/>
        </w:rPr>
        <w:t>de minimis</w:t>
      </w:r>
      <w:r>
        <w:rPr>
          <w:rFonts w:cs="Tahoma" w:ascii="Tahoma" w:hAnsi="Tahoma"/>
          <w:b w:val="false"/>
          <w:bCs w:val="false"/>
          <w:sz w:val="20"/>
        </w:rPr>
        <w:t xml:space="preserve"> ve výši dotace dle čl. IV odst. 1 této smlouvy ve smyslu Nařízení Komise (EU) 2023/2831 ze dne 13. 12. 2023, o použití článků 107 a 108 Smlouvy o fungování Evropské unie na podporu </w:t>
      </w:r>
      <w:r>
        <w:rPr>
          <w:rFonts w:cs="Tahoma" w:ascii="Tahoma" w:hAnsi="Tahoma"/>
          <w:b w:val="false"/>
          <w:bCs w:val="false"/>
          <w:i/>
          <w:iCs/>
          <w:sz w:val="20"/>
        </w:rPr>
        <w:t xml:space="preserve">de minimis </w:t>
      </w:r>
      <w:r>
        <w:rPr>
          <w:rFonts w:cs="Tahoma" w:ascii="Tahoma" w:hAnsi="Tahoma"/>
          <w:b w:val="false"/>
          <w:bCs w:val="false"/>
          <w:sz w:val="20"/>
        </w:rPr>
        <w:t>(publikováno v Úředním věstníku Evropské unie řadě L dne 15. 12. 2023) [dále jen „nařízení Komise (EU) 2023/2831“]. Za den poskytnutí podpory de minimis podle této smlouvy se považuje den, kdy tato smlouva nabude účinnosti.</w:t>
      </w:r>
    </w:p>
    <w:p>
      <w:pPr>
        <w:pStyle w:val="BodyText"/>
        <w:numPr>
          <w:ilvl w:val="0"/>
          <w:numId w:val="5"/>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Příjemce prohlašuje, že nenastaly okolnosti, které by vylučovaly aplikaci pravidla de minimis dle Nařízení Komise (EU) 2023/2831, zejména že poskytnutím této dotace nedojde k takové kumulaci s jinou veřejnou podporou ohledně týchž nákladů, která by způsobila překročení povolené míry podpory de minimis, a že v posledních 3 letech přede dnem nabytí účinnosti této smlouvy příjemci, resp. subjektům, které jsou spolu s příjemcem dle čl. 2 odst. 2 Nařízení Komise (EU) 2023/2831 považovány za jeden podnik, nebyla poskytnuta podpora de minimis, která by v součtu s podporou de minimis poskytovanou na základě této smlouvy překročila maximální částku povolenou právními předpisy Evropské unie upravujícími oblast veřejné podpory. </w:t>
      </w:r>
    </w:p>
    <w:p>
      <w:pPr>
        <w:pStyle w:val="Normal"/>
        <w:numPr>
          <w:ilvl w:val="0"/>
          <w:numId w:val="5"/>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Pokud by poskytnutím dotace dle čl. IV odst. 1 této smlouvy měl být překročen limit pro podporu de minimis dle Nařízení Komise (EU) 2023/2831, bude částka dotace snížena v souladu s uvedeným nařízením a takto upravená částka vyplacena příjemci. V případě, že nebude možno dotaci z důvodu překročení povolené míry podpory de minimis dle Nařízení Komise (EU) 2023/2831 poskytnout, nebude dotace příjemci poskytnuta.</w:t>
      </w:r>
    </w:p>
    <w:p>
      <w:pPr>
        <w:pStyle w:val="Normal"/>
        <w:spacing w:before="120" w:after="0"/>
        <w:jc w:val="both"/>
        <w:rPr/>
      </w:pPr>
      <w:r>
        <w:rPr>
          <w:rFonts w:cs="Tahoma" w:ascii="Tahoma" w:hAnsi="Tahoma"/>
          <w:i/>
          <w:iCs/>
          <w:color w:val="3366FF"/>
          <w:sz w:val="20"/>
        </w:rPr>
        <w:t>Odstavce 5 až 7 tohoto článku smlouvy se uvedou v případě, že se bude jednat o poskytnutí podpory de minimis.</w:t>
      </w:r>
    </w:p>
    <w:p>
      <w:pPr>
        <w:pStyle w:val="BodyText"/>
        <w:spacing w:before="120" w:after="0"/>
        <w:ind w:start="357" w:end="0"/>
        <w:jc w:val="both"/>
        <w:rPr>
          <w:rFonts w:ascii="Tahoma" w:hAnsi="Tahoma" w:cs="Tahoma"/>
          <w:b w:val="false"/>
          <w:bCs w:val="false"/>
          <w:i/>
          <w:i/>
          <w:iCs/>
          <w:color w:val="3366FF"/>
          <w:sz w:val="20"/>
        </w:rPr>
      </w:pPr>
      <w:r>
        <w:rPr>
          <w:rFonts w:cs="Tahoma" w:ascii="Tahoma" w:hAnsi="Tahoma"/>
          <w:b w:val="false"/>
          <w:bCs w:val="false"/>
          <w:i/>
          <w:iCs/>
          <w:color w:val="3366FF"/>
          <w:sz w:val="20"/>
        </w:rPr>
      </w:r>
    </w:p>
    <w:p>
      <w:pPr>
        <w:pStyle w:val="Normal"/>
        <w:spacing w:before="360" w:after="0"/>
        <w:jc w:val="center"/>
        <w:rPr>
          <w:rFonts w:ascii="Tahoma" w:hAnsi="Tahoma" w:cs="Tahoma"/>
          <w:b/>
          <w:bCs/>
          <w:sz w:val="20"/>
        </w:rPr>
      </w:pPr>
      <w:r>
        <w:rPr>
          <w:rFonts w:cs="Tahoma" w:ascii="Tahoma" w:hAnsi="Tahoma"/>
          <w:b/>
          <w:bCs/>
          <w:sz w:val="20"/>
        </w:rPr>
        <w:t>VI.</w:t>
      </w:r>
    </w:p>
    <w:p>
      <w:pPr>
        <w:pStyle w:val="Normal"/>
        <w:jc w:val="center"/>
        <w:rPr>
          <w:rFonts w:ascii="Tahoma" w:hAnsi="Tahoma" w:cs="Tahoma"/>
          <w:b/>
          <w:bCs/>
          <w:sz w:val="20"/>
        </w:rPr>
      </w:pPr>
      <w:r>
        <w:rPr>
          <w:rFonts w:cs="Tahoma" w:ascii="Tahoma" w:hAnsi="Tahoma"/>
          <w:b/>
          <w:bCs/>
          <w:sz w:val="20"/>
        </w:rPr>
        <w:t>Uznatelný náklad</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w:t>
      </w:r>
      <w:r>
        <w:rPr>
          <w:rFonts w:cs="Tahoma" w:ascii="Tahoma" w:hAnsi="Tahoma"/>
          <w:sz w:val="20"/>
        </w:rPr>
        <w:t>Uznatelným nákladem“ je náklad, který splňuje všechny níže uvedené podmínky:</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 xml:space="preserve">vznikl v období od </w:t>
      </w:r>
      <w:r>
        <w:rPr>
          <w:rFonts w:cs="Tahoma" w:ascii="Tahoma" w:hAnsi="Tahoma"/>
          <w:b/>
          <w:sz w:val="20"/>
        </w:rPr>
        <w:t>1. 1. 2025 do 30. 6. 2025</w:t>
      </w:r>
      <w:r>
        <w:rPr>
          <w:rFonts w:cs="Tahoma" w:ascii="Tahoma" w:hAnsi="Tahoma"/>
          <w:i/>
          <w:sz w:val="20"/>
        </w:rPr>
        <w:t xml:space="preserve"> </w:t>
      </w:r>
      <w:r>
        <w:rPr>
          <w:rFonts w:cs="Tahoma" w:ascii="Tahoma" w:hAnsi="Tahoma"/>
          <w:sz w:val="20"/>
        </w:rPr>
        <w:t>a byl příjemcem uhrazen do konce lhůty pro předložení závěrečného vyúčtování projektu</w:t>
      </w:r>
      <w:r>
        <w:rPr>
          <w:rFonts w:cs="Tahoma" w:ascii="Tahoma" w:hAnsi="Tahoma"/>
          <w:i/>
          <w:sz w:val="20"/>
        </w:rPr>
        <w:t>,</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 xml:space="preserve">byl vynaložen v souladu s účelovým určením dle čl. IV této smlouvy, ostatními podmínkami této smlouvy a podmínkami Dotačního programu, </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vyhovuje zásadám účelnosti, efektivnosti a hospodárnosti dle zákona o finanční kontrole a</w:t>
      </w:r>
    </w:p>
    <w:p>
      <w:pPr>
        <w:pStyle w:val="Normal"/>
        <w:numPr>
          <w:ilvl w:val="1"/>
          <w:numId w:val="8"/>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je uveden v nákladovém rozpočtu projektu, který je přílohou č. 1 této smlouvy.</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Daň z přidané hodnoty vztahující se k uznatelným nákladům je uznatelným nákladem, pokud příjemce není plátcem této daně nebo pokud mu nevzniká nárok na odpočet této daně.</w:t>
      </w:r>
    </w:p>
    <w:p>
      <w:pPr>
        <w:pStyle w:val="Normal"/>
        <w:numPr>
          <w:ilvl w:val="0"/>
          <w:numId w:val="8"/>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Všechny ostatní náklady vynaložené příjemcem jsou považovány za náklady neuznatelné.</w:t>
      </w:r>
    </w:p>
    <w:p>
      <w:pPr>
        <w:pStyle w:val="Normal"/>
        <w:ind w:start="4248" w:end="0"/>
        <w:rPr>
          <w:rFonts w:ascii="Tahoma" w:hAnsi="Tahoma" w:cs="Tahoma"/>
          <w:b/>
          <w:bCs/>
          <w:sz w:val="20"/>
        </w:rPr>
      </w:pPr>
      <w:r>
        <w:rPr>
          <w:rFonts w:cs="Tahoma" w:ascii="Tahoma" w:hAnsi="Tahoma"/>
          <w:b/>
          <w:bCs/>
          <w:sz w:val="20"/>
        </w:rPr>
      </w:r>
    </w:p>
    <w:p>
      <w:pPr>
        <w:pStyle w:val="Normal"/>
        <w:jc w:val="center"/>
        <w:rPr>
          <w:rFonts w:ascii="Tahoma" w:hAnsi="Tahoma" w:cs="Tahoma"/>
          <w:b/>
          <w:bCs/>
          <w:sz w:val="20"/>
        </w:rPr>
      </w:pPr>
      <w:r>
        <w:rPr>
          <w:rFonts w:cs="Tahoma" w:ascii="Tahoma" w:hAnsi="Tahoma"/>
          <w:b/>
          <w:bCs/>
          <w:sz w:val="20"/>
        </w:rPr>
        <w:t>VII.</w:t>
      </w:r>
    </w:p>
    <w:p>
      <w:pPr>
        <w:pStyle w:val="Normal"/>
        <w:jc w:val="center"/>
        <w:rPr/>
      </w:pPr>
      <w:r>
        <w:rPr>
          <w:rFonts w:cs="Tahoma" w:ascii="Tahoma" w:hAnsi="Tahoma"/>
          <w:b/>
          <w:bCs/>
          <w:sz w:val="20"/>
        </w:rPr>
        <w:t xml:space="preserve">Povinná publicita </w:t>
      </w:r>
    </w:p>
    <w:p>
      <w:pPr>
        <w:pStyle w:val="Normal"/>
        <w:numPr>
          <w:ilvl w:val="0"/>
          <w:numId w:val="9"/>
        </w:numPr>
        <w:tabs>
          <w:tab w:val="clear" w:pos="708"/>
        </w:tabs>
        <w:spacing w:before="120" w:after="0"/>
        <w:ind w:hanging="360" w:start="360" w:end="0"/>
        <w:jc w:val="both"/>
        <w:rPr>
          <w:rFonts w:ascii="Tahoma" w:hAnsi="Tahoma" w:cs="Tahoma"/>
          <w:sz w:val="20"/>
        </w:rPr>
      </w:pPr>
      <w:r>
        <w:rPr>
          <w:rFonts w:cs="Tahoma" w:ascii="Tahoma" w:hAnsi="Tahoma"/>
          <w:sz w:val="20"/>
        </w:rPr>
        <w:t>Příjemce bere na vědomí, že poskytovatel je oprávněn zveřejnit jeho</w:t>
      </w:r>
      <w:r>
        <w:rPr>
          <w:rFonts w:cs="Tahoma" w:ascii="Tahoma" w:hAnsi="Tahoma"/>
          <w:i/>
          <w:sz w:val="20"/>
        </w:rPr>
        <w:t xml:space="preserve"> jméno, příjmení, rok narození / název/firmu, IČ, sídlo</w:t>
      </w:r>
      <w:r>
        <w:rPr>
          <w:rFonts w:cs="Tahoma" w:ascii="Tahoma" w:hAnsi="Tahoma"/>
          <w:sz w:val="20"/>
        </w:rPr>
        <w:t xml:space="preserve"> </w:t>
      </w:r>
      <w:r>
        <w:rPr>
          <w:rFonts w:cs="Tahoma" w:ascii="Tahoma" w:hAnsi="Tahoma"/>
          <w:i/>
          <w:iCs/>
          <w:color w:val="3366FF"/>
          <w:sz w:val="20"/>
        </w:rPr>
        <w:t>(bude upřesněno podle právní formy příjemce)</w:t>
      </w:r>
      <w:r>
        <w:rPr>
          <w:rFonts w:cs="Tahoma" w:ascii="Tahoma" w:hAnsi="Tahoma"/>
          <w:sz w:val="20"/>
        </w:rPr>
        <w:t xml:space="preserve">, 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 </w:t>
      </w:r>
      <w:hyperlink r:id="rId2">
        <w:r>
          <w:rPr>
            <w:rStyle w:val="Hyperlink"/>
            <w:rFonts w:cs="Tahoma" w:ascii="Tahoma" w:hAnsi="Tahoma"/>
            <w:sz w:val="20"/>
            <w:szCs w:val="20"/>
          </w:rPr>
          <w:t>https://www.msk.cz/assets/kraj/symboly/graficky_manual.pdf</w:t>
        </w:r>
      </w:hyperlink>
      <w:r>
        <w:rPr>
          <w:rFonts w:cs="Tahoma" w:ascii="Tahoma" w:hAnsi="Tahoma"/>
          <w:sz w:val="20"/>
        </w:rPr>
        <w:t>.</w:t>
      </w:r>
    </w:p>
    <w:p>
      <w:pPr>
        <w:pStyle w:val="Normal"/>
        <w:numPr>
          <w:ilvl w:val="0"/>
          <w:numId w:val="9"/>
        </w:numPr>
        <w:tabs>
          <w:tab w:val="clear" w:pos="708"/>
        </w:tabs>
        <w:spacing w:before="120" w:after="0"/>
        <w:ind w:hanging="360" w:start="360" w:end="0"/>
        <w:jc w:val="both"/>
        <w:rPr>
          <w:rFonts w:ascii="Tahoma" w:hAnsi="Tahoma" w:cs="Tahoma"/>
          <w:sz w:val="20"/>
        </w:rPr>
      </w:pPr>
      <w:r>
        <w:rPr>
          <w:rFonts w:cs="Tahoma" w:ascii="Tahoma" w:hAnsi="Tahoma"/>
          <w:sz w:val="20"/>
        </w:rPr>
        <w:t>Příjemce se zavazuje k tomu, že v průběhu realizace projektu (v případě výroční zprávy i po jeho realizaci) bude prokazatelným a vhodným způsobem prezentovat Moravskoslezský kraj, a to v tomto rozsahu:</w:t>
      </w:r>
    </w:p>
    <w:p>
      <w:pPr>
        <w:pStyle w:val="Normal"/>
        <w:rPr>
          <w:rFonts w:ascii="Tahoma" w:hAnsi="Tahoma" w:cs="Tahoma"/>
          <w:b/>
          <w:bCs/>
          <w:sz w:val="20"/>
        </w:rPr>
      </w:pPr>
      <w:r>
        <w:rPr>
          <w:rFonts w:cs="Tahoma" w:ascii="Tahoma" w:hAnsi="Tahoma"/>
          <w:b/>
          <w:bCs/>
          <w:sz w:val="20"/>
        </w:rPr>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na svých webových stránkách, jsou-li zřízeny, umístit logo Moravskoslezského kraje buď v sekci partneři, nebo přímo u podporovaného projektu,</w:t>
      </w:r>
    </w:p>
    <w:p>
      <w:pPr>
        <w:pStyle w:val="Normal"/>
        <w:numPr>
          <w:ilvl w:val="0"/>
          <w:numId w:val="6"/>
        </w:numPr>
        <w:jc w:val="both"/>
        <w:rPr>
          <w:rFonts w:ascii="Tahoma" w:hAnsi="Tahoma" w:cs="Tahoma"/>
          <w:sz w:val="20"/>
          <w:szCs w:val="20"/>
          <w:lang w:eastAsia="en-US"/>
        </w:rPr>
      </w:pPr>
      <w:r>
        <w:rPr>
          <w:rFonts w:cs="Tahoma" w:ascii="Tahoma" w:hAnsi="Tahoma"/>
          <w:iCs/>
          <w:sz w:val="20"/>
          <w:szCs w:val="20"/>
          <w:lang w:eastAsia="en-US"/>
        </w:rPr>
        <w:t xml:space="preserve">informovat veřejnost o poskytnutí dotace Moravskoslezským krajem na svých webových stránkách s odkazem (hyperlinkem) na webové stránky konkrétního projektu, jsou-li tyto stránky zřízeny, </w:t>
      </w:r>
    </w:p>
    <w:p>
      <w:pPr>
        <w:pStyle w:val="Normal"/>
        <w:numPr>
          <w:ilvl w:val="0"/>
          <w:numId w:val="6"/>
        </w:numPr>
        <w:spacing w:before="0" w:after="0"/>
        <w:jc w:val="both"/>
        <w:rPr>
          <w:rFonts w:ascii="Tahoma" w:hAnsi="Tahoma" w:cs="Tahoma"/>
          <w:iCs/>
          <w:sz w:val="20"/>
          <w:szCs w:val="20"/>
          <w:lang w:eastAsia="en-US"/>
        </w:rPr>
      </w:pPr>
      <w:r>
        <w:rPr>
          <w:rFonts w:cs="Tahoma" w:ascii="Tahoma" w:hAnsi="Tahoma"/>
          <w:iCs/>
          <w:sz w:val="20"/>
          <w:szCs w:val="20"/>
          <w:lang w:eastAsia="en-US"/>
        </w:rPr>
        <w:t>na svých profilech sociálních sítí, jsou-li zřízeny, uveřejnit vhodným způsobem informaci, že Moravskoslezský kraj poskytl dotaci na realizaci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na všech pozvánkách, plakátech, poutačích, billboardech, ve spotech, katalozích a podobných nosičích reklamy použít logo Moravskoslezského kraje,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s administrátorem v dostatečném předstihu dohodnout zapůjčení bannerů nebo roll-upů k propagaci Moravskoslezského kraje přímo na místě realizace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 </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umožnit účast zástupců Moravskoslezského kraje na aktivitách projektu,</w:t>
      </w:r>
    </w:p>
    <w:p>
      <w:pPr>
        <w:pStyle w:val="Normal"/>
        <w:numPr>
          <w:ilvl w:val="0"/>
          <w:numId w:val="6"/>
        </w:numPr>
        <w:jc w:val="both"/>
        <w:rPr>
          <w:rFonts w:ascii="Tahoma" w:hAnsi="Tahoma" w:cs="Tahoma"/>
          <w:iCs/>
          <w:sz w:val="20"/>
          <w:szCs w:val="20"/>
          <w:lang w:eastAsia="en-US"/>
        </w:rPr>
      </w:pPr>
      <w:r>
        <w:rPr>
          <w:rFonts w:cs="Tahoma" w:ascii="Tahoma" w:hAnsi="Tahoma"/>
          <w:iCs/>
          <w:sz w:val="20"/>
          <w:szCs w:val="20"/>
          <w:lang w:eastAsia="en-US"/>
        </w:rPr>
        <w:t>zajistit fotodokumentaci povinné publicity projektu.</w:t>
      </w:r>
    </w:p>
    <w:p>
      <w:pPr>
        <w:pStyle w:val="Normal"/>
        <w:ind w:start="360" w:end="0"/>
        <w:jc w:val="both"/>
        <w:rPr>
          <w:rFonts w:ascii="Tahoma" w:hAnsi="Tahoma" w:cs="Tahoma"/>
          <w:iCs/>
          <w:sz w:val="20"/>
          <w:szCs w:val="20"/>
          <w:lang w:eastAsia="en-US"/>
        </w:rPr>
      </w:pPr>
      <w:r>
        <w:rPr>
          <w:rFonts w:cs="Tahoma" w:ascii="Tahoma" w:hAnsi="Tahoma"/>
          <w:i/>
          <w:iCs/>
          <w:color w:val="3366FF"/>
          <w:sz w:val="20"/>
        </w:rPr>
        <w:t>Způsoby prezentace mohou být upraveny individuálně dle charakteru projektu. Změny výše uvedených povinností povinné publicity je nutné vždy předem konzultovat s odborem kancelář hejtmana kraje, vyjma povinností, které nemohou příjemci z objektivních důvodů splnit.</w:t>
      </w:r>
    </w:p>
    <w:p>
      <w:pPr>
        <w:pStyle w:val="Normal"/>
        <w:numPr>
          <w:ilvl w:val="0"/>
          <w:numId w:val="9"/>
        </w:numPr>
        <w:tabs>
          <w:tab w:val="clear" w:pos="708"/>
        </w:tabs>
        <w:spacing w:before="120" w:after="0"/>
        <w:ind w:hanging="360" w:start="360" w:end="0"/>
        <w:jc w:val="both"/>
        <w:rPr>
          <w:rFonts w:ascii="Tahoma" w:hAnsi="Tahoma" w:cs="Tahoma"/>
          <w:sz w:val="20"/>
          <w:szCs w:val="20"/>
        </w:rPr>
      </w:pPr>
      <w:r>
        <w:rPr>
          <w:rFonts w:cs="Tahoma" w:ascii="Tahoma" w:hAnsi="Tahoma"/>
          <w:sz w:val="20"/>
          <w:szCs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p>
    <w:p>
      <w:pPr>
        <w:pStyle w:val="Normal"/>
        <w:numPr>
          <w:ilvl w:val="0"/>
          <w:numId w:val="9"/>
        </w:numPr>
        <w:tabs>
          <w:tab w:val="clear" w:pos="708"/>
          <w:tab w:val="left" w:pos="360" w:leader="none"/>
        </w:tabs>
        <w:spacing w:before="120" w:after="0"/>
        <w:ind w:hanging="360" w:start="360" w:end="0"/>
        <w:jc w:val="both"/>
        <w:rPr>
          <w:rFonts w:ascii="Tahoma" w:hAnsi="Tahoma" w:cs="Tahoma"/>
          <w:sz w:val="20"/>
          <w:szCs w:val="20"/>
          <w:lang w:eastAsia="en-US"/>
        </w:rPr>
      </w:pPr>
      <w:r>
        <w:rPr>
          <w:rFonts w:cs="Tahoma" w:ascii="Tahoma" w:hAnsi="Tahoma"/>
          <w:sz w:val="20"/>
          <w:szCs w:val="20"/>
          <w:lang w:eastAsia="en-US"/>
        </w:rPr>
        <w:t xml:space="preserve">Veškeré náklady, které příjemce vynaloží na splnění povinností stanovených v tomto článku smlouvy, jsou neuznatelnými náklady. </w:t>
      </w:r>
      <w:r>
        <w:rPr>
          <w:rFonts w:eastAsia="Calibri" w:cs="Tahoma" w:ascii="Tahoma" w:hAnsi="Tahoma"/>
          <w:i/>
          <w:iCs/>
          <w:color w:val="3366FF"/>
          <w:sz w:val="20"/>
          <w:szCs w:val="22"/>
          <w:lang w:eastAsia="en-US"/>
        </w:rPr>
        <w:t>(jsou-li mezi uznatelnými náklady v čl. VI smlouvy, resp. v nákladovém rozpočtu uvedeny i náklady na propagaci projektu, tento odstavec se vypustí)</w:t>
      </w:r>
    </w:p>
    <w:p>
      <w:pPr>
        <w:pStyle w:val="Normal"/>
        <w:spacing w:before="360" w:after="0"/>
        <w:jc w:val="center"/>
        <w:rPr>
          <w:rFonts w:ascii="Tahoma" w:hAnsi="Tahoma" w:cs="Tahoma"/>
          <w:b/>
          <w:bCs/>
          <w:sz w:val="20"/>
          <w:szCs w:val="20"/>
          <w:lang w:eastAsia="en-US"/>
        </w:rPr>
      </w:pPr>
      <w:r>
        <w:rPr>
          <w:rFonts w:cs="Tahoma" w:ascii="Tahoma" w:hAnsi="Tahoma"/>
          <w:b/>
          <w:bCs/>
          <w:sz w:val="20"/>
          <w:szCs w:val="20"/>
          <w:lang w:eastAsia="en-US"/>
        </w:rPr>
      </w:r>
    </w:p>
    <w:p>
      <w:pPr>
        <w:pStyle w:val="Normal"/>
        <w:spacing w:before="360" w:after="0"/>
        <w:jc w:val="center"/>
        <w:rPr>
          <w:rFonts w:ascii="Tahoma" w:hAnsi="Tahoma" w:cs="Tahoma"/>
          <w:b/>
          <w:bCs/>
          <w:sz w:val="20"/>
        </w:rPr>
      </w:pPr>
      <w:r>
        <w:rPr>
          <w:rFonts w:cs="Tahoma" w:ascii="Tahoma" w:hAnsi="Tahoma"/>
          <w:b/>
          <w:bCs/>
          <w:sz w:val="20"/>
        </w:rPr>
        <w:t>VIII.</w:t>
      </w:r>
    </w:p>
    <w:p>
      <w:pPr>
        <w:pStyle w:val="Normal"/>
        <w:jc w:val="center"/>
        <w:rPr>
          <w:rFonts w:ascii="Tahoma" w:hAnsi="Tahoma" w:cs="Tahoma"/>
          <w:b/>
          <w:bCs/>
          <w:sz w:val="20"/>
        </w:rPr>
      </w:pPr>
      <w:r>
        <w:rPr>
          <w:rFonts w:cs="Tahoma" w:ascii="Tahoma" w:hAnsi="Tahoma"/>
          <w:b/>
          <w:bCs/>
          <w:sz w:val="20"/>
        </w:rPr>
        <w:t>Závěrečná ustanovení</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Poskytovatel není oprávněn tuto smlouvu vypovědět: </w:t>
      </w:r>
    </w:p>
    <w:p>
      <w:pPr>
        <w:pStyle w:val="Normal"/>
        <w:numPr>
          <w:ilvl w:val="1"/>
          <w:numId w:val="7"/>
        </w:numPr>
        <w:spacing w:before="120" w:after="0"/>
        <w:ind w:hanging="360" w:start="709" w:end="0"/>
        <w:jc w:val="both"/>
        <w:rPr>
          <w:rFonts w:ascii="Tahoma" w:hAnsi="Tahoma" w:cs="Tahoma"/>
          <w:sz w:val="20"/>
        </w:rPr>
      </w:pPr>
      <w:r>
        <w:rPr>
          <w:rFonts w:cs="Tahoma" w:ascii="Tahoma" w:hAnsi="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pPr>
        <w:pStyle w:val="Normal"/>
        <w:numPr>
          <w:ilvl w:val="1"/>
          <w:numId w:val="7"/>
        </w:numPr>
        <w:spacing w:before="120" w:after="0"/>
        <w:ind w:hanging="360" w:start="709" w:end="0"/>
        <w:jc w:val="both"/>
        <w:rPr>
          <w:rFonts w:ascii="Tahoma" w:hAnsi="Tahoma" w:cs="Tahoma"/>
          <w:sz w:val="20"/>
        </w:rPr>
      </w:pPr>
      <w:r>
        <w:rPr>
          <w:rFonts w:cs="Tahoma" w:ascii="Tahoma" w:hAnsi="Tahoma"/>
          <w:sz w:val="20"/>
        </w:rPr>
        <w:t>poruší-li příjemce rozpočtovou kázeň porušením některé z podmínek uvedených v čl. V odst. 3 této smlouvy, jedná-li se o méně závažné porušení podmínky, za něž je v čl. V odst. 4 stanoven nižší odvod.</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Případné změny a doplňky této smlouvy budou smluvní strany řešit písemnými, vzestupně číslovanými dodatky k této smlouvě, které budou výslovně za dodatky této smlouvy označeny.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Tato smlouva nabývá platnosti a účinnosti dnem, kdy vyjádření souhlasu s obsahem návrhu dojde druhé smluvní straně, pokud z odst. 6 nebo 7 tohoto článku nevyplývá něco jiného.</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o registru smluv poskytovatel. V takovém případě nabývá smlouva účinnosti dnem jejího uveřejnění v registru smluv.</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Smluvní strany se dohodly, že pokud je dotace poskytnuta jako podpora de minimis dle </w:t>
      </w:r>
      <w:r>
        <w:rPr>
          <w:rFonts w:cs="Tahoma" w:ascii="Tahoma" w:hAnsi="Tahoma"/>
          <w:bCs/>
          <w:sz w:val="20"/>
        </w:rPr>
        <w:t>Nařízení Komise (EU) 2023/2831, provede poskytovatel její uveřejnění v registru smluv. V takovém případě nabývá smlouva účinnosti dnem jejího uveřejnění v registru smluv.</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bCs/>
          <w:sz w:val="20"/>
        </w:rPr>
        <w:t>V případě, kdy nebude tato smlouva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Nedílnou součástí této smlouvy je nákladový rozpočet projektu, který tvoří přílohu č. 1 této smlouvy.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3">
        <w:r>
          <w:rPr>
            <w:rStyle w:val="Hyperlink"/>
            <w:rFonts w:cs="Tahoma" w:ascii="Tahoma" w:hAnsi="Tahoma"/>
            <w:sz w:val="20"/>
          </w:rPr>
          <w:t>www.msk.cz</w:t>
        </w:r>
      </w:hyperlink>
      <w:r>
        <w:rPr>
          <w:rFonts w:cs="Tahoma" w:ascii="Tahoma" w:hAnsi="Tahoma"/>
          <w:sz w:val="20"/>
        </w:rPr>
        <w:t>.</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pPr>
        <w:pStyle w:val="Normal"/>
        <w:numPr>
          <w:ilvl w:val="0"/>
          <w:numId w:val="3"/>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 xml:space="preserve">Doložka platnosti právního jednání dle § 23 zákona č. 129/2000 Sb., o krajích (krajské zřízení), ve znění pozdějších předpisů: </w:t>
      </w:r>
    </w:p>
    <w:p>
      <w:pPr>
        <w:pStyle w:val="Normal"/>
        <w:spacing w:before="120" w:after="0"/>
        <w:ind w:start="357" w:end="0"/>
        <w:jc w:val="both"/>
        <w:rPr>
          <w:rFonts w:ascii="Tahoma" w:hAnsi="Tahoma" w:cs="Tahoma"/>
          <w:sz w:val="20"/>
        </w:rPr>
      </w:pPr>
      <w:r>
        <w:rPr>
          <w:rFonts w:cs="Tahoma" w:ascii="Tahoma" w:hAnsi="Tahoma"/>
          <w:sz w:val="20"/>
        </w:rPr>
        <w:t>O poskytnutí dotace a uzavření této smlouvy rozhodlo zastupitelstvo kraje svým usnesením č. ze dne .</w:t>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tabs>
          <w:tab w:val="clear" w:pos="708"/>
          <w:tab w:val="left" w:pos="360" w:leader="none"/>
        </w:tabs>
        <w:ind w:hanging="360" w:start="360" w:end="0"/>
        <w:jc w:val="both"/>
        <w:rPr>
          <w:rFonts w:ascii="Tahoma" w:hAnsi="Tahoma" w:cs="Tahoma"/>
          <w:sz w:val="20"/>
        </w:rPr>
      </w:pPr>
      <w:r>
        <w:rPr>
          <w:rFonts w:cs="Tahoma" w:ascii="Tahoma" w:hAnsi="Tahoma"/>
          <w:sz w:val="20"/>
        </w:rPr>
      </w:r>
    </w:p>
    <w:p>
      <w:pPr>
        <w:pStyle w:val="Normal"/>
        <w:ind w:start="360" w:end="0"/>
        <w:jc w:val="both"/>
        <w:rPr>
          <w:rFonts w:ascii="Tahoma" w:hAnsi="Tahoma" w:cs="Tahoma"/>
          <w:sz w:val="20"/>
        </w:rPr>
      </w:pPr>
      <w:r>
        <w:rPr>
          <w:rFonts w:cs="Tahoma" w:ascii="Tahoma" w:hAnsi="Tahoma"/>
          <w:sz w:val="20"/>
        </w:rPr>
      </w:r>
    </w:p>
    <w:p>
      <w:pPr>
        <w:pStyle w:val="Normal"/>
        <w:tabs>
          <w:tab w:val="clear" w:pos="708"/>
          <w:tab w:val="left" w:pos="5760" w:leader="none"/>
        </w:tabs>
        <w:ind w:start="360" w:end="0"/>
        <w:jc w:val="both"/>
        <w:rPr>
          <w:rFonts w:ascii="Tahoma" w:hAnsi="Tahoma" w:cs="Tahoma"/>
          <w:i/>
          <w:i/>
          <w:iCs/>
          <w:sz w:val="20"/>
        </w:rPr>
      </w:pPr>
      <w:r>
        <w:rPr>
          <w:rFonts w:cs="Tahoma" w:ascii="Tahoma" w:hAnsi="Tahoma"/>
          <w:sz w:val="20"/>
        </w:rPr>
        <w:t>V Ostravě dne ...........</w:t>
        <w:tab/>
        <w:t>V ....................... dne ...........</w:t>
      </w:r>
    </w:p>
    <w:p>
      <w:pPr>
        <w:pStyle w:val="Normal"/>
        <w:jc w:val="both"/>
        <w:rPr>
          <w:rFonts w:ascii="Tahoma" w:hAnsi="Tahoma" w:cs="Tahoma"/>
          <w:i/>
          <w:i/>
          <w:iCs/>
          <w:sz w:val="20"/>
        </w:rPr>
      </w:pPr>
      <w:r>
        <w:rPr>
          <w:rFonts w:cs="Tahoma" w:ascii="Tahoma" w:hAnsi="Tahoma"/>
          <w:i/>
          <w:iCs/>
          <w:sz w:val="20"/>
        </w:rPr>
      </w:r>
    </w:p>
    <w:p>
      <w:pPr>
        <w:pStyle w:val="Normal"/>
        <w:jc w:val="both"/>
        <w:rPr>
          <w:rFonts w:ascii="Tahoma" w:hAnsi="Tahoma" w:cs="Tahoma"/>
          <w:sz w:val="20"/>
        </w:rPr>
      </w:pPr>
      <w:r>
        <w:rPr>
          <w:rFonts w:cs="Tahoma" w:ascii="Tahoma" w:hAnsi="Tahoma"/>
          <w:sz w:val="20"/>
        </w:rPr>
      </w:r>
    </w:p>
    <w:p>
      <w:pPr>
        <w:pStyle w:val="Normal"/>
        <w:jc w:val="both"/>
        <w:rPr>
          <w:rFonts w:ascii="Tahoma" w:hAnsi="Tahoma" w:cs="Tahoma"/>
          <w:sz w:val="20"/>
        </w:rPr>
      </w:pPr>
      <w:r>
        <w:rPr>
          <w:rFonts w:cs="Tahoma" w:ascii="Tahoma" w:hAnsi="Tahoma"/>
          <w:sz w:val="20"/>
        </w:rPr>
      </w:r>
    </w:p>
    <w:p>
      <w:pPr>
        <w:pStyle w:val="Normal"/>
        <w:tabs>
          <w:tab w:val="clear" w:pos="708"/>
          <w:tab w:val="center" w:pos="7020" w:leader="none"/>
        </w:tabs>
        <w:jc w:val="both"/>
        <w:rPr>
          <w:rFonts w:ascii="Tahoma" w:hAnsi="Tahoma" w:cs="Tahoma"/>
          <w:sz w:val="20"/>
        </w:rPr>
      </w:pPr>
      <w:r>
        <w:rPr>
          <w:rFonts w:eastAsia="Tahoma" w:cs="Tahoma" w:ascii="Tahoma" w:hAnsi="Tahoma"/>
          <w:sz w:val="20"/>
        </w:rPr>
        <w:t xml:space="preserve">   </w:t>
      </w:r>
      <w:r>
        <w:rPr>
          <w:rFonts w:cs="Tahoma" w:ascii="Tahoma" w:hAnsi="Tahoma"/>
          <w:sz w:val="20"/>
        </w:rPr>
        <w:t>………………………………………</w:t>
      </w:r>
      <w:r>
        <w:rPr>
          <w:rFonts w:eastAsia="Tahoma" w:cs="Tahoma" w:ascii="Tahoma" w:hAnsi="Tahoma"/>
          <w:sz w:val="20"/>
        </w:rPr>
        <w:t xml:space="preserve"> </w:t>
      </w:r>
      <w:r>
        <w:rPr>
          <w:rFonts w:cs="Tahoma" w:ascii="Tahoma" w:hAnsi="Tahoma"/>
          <w:sz w:val="20"/>
        </w:rPr>
        <w:tab/>
        <w:t>.......................................................</w:t>
      </w:r>
    </w:p>
    <w:p>
      <w:pPr>
        <w:pStyle w:val="Normal"/>
        <w:tabs>
          <w:tab w:val="clear" w:pos="708"/>
          <w:tab w:val="center" w:pos="1980" w:leader="none"/>
          <w:tab w:val="center" w:pos="7020" w:leader="none"/>
        </w:tabs>
        <w:jc w:val="both"/>
        <w:rPr/>
      </w:pPr>
      <w:r>
        <w:rPr>
          <w:rFonts w:eastAsia="Tahoma" w:cs="Tahoma" w:ascii="Tahoma" w:hAnsi="Tahoma"/>
          <w:sz w:val="20"/>
        </w:rPr>
        <w:t xml:space="preserve">         </w:t>
      </w:r>
      <w:r>
        <w:rPr>
          <w:rFonts w:cs="Tahoma" w:ascii="Tahoma" w:hAnsi="Tahoma"/>
          <w:sz w:val="20"/>
        </w:rPr>
        <w:t>za poskytovatele</w:t>
        <w:tab/>
        <w:t>za příjemce</w:t>
      </w:r>
    </w:p>
    <w:p>
      <w:pPr>
        <w:pStyle w:val="Zkladntextodsazen3"/>
        <w:tabs>
          <w:tab w:val="clear" w:pos="360"/>
          <w:tab w:val="center" w:pos="1980" w:leader="none"/>
          <w:tab w:val="center" w:pos="7380" w:leader="none"/>
        </w:tabs>
        <w:rPr>
          <w:rFonts w:ascii="Tahoma" w:hAnsi="Tahoma" w:cs="Tahoma"/>
          <w:i/>
          <w:i/>
          <w:iCs/>
          <w:color w:val="3366FF"/>
          <w:sz w:val="20"/>
        </w:rPr>
      </w:pPr>
      <w:r>
        <w:rPr>
          <w:rFonts w:eastAsia="Tahoma" w:cs="Tahoma" w:ascii="Tahoma" w:hAnsi="Tahoma"/>
          <w:sz w:val="20"/>
        </w:rPr>
        <w:t xml:space="preserve">                     </w:t>
      </w:r>
      <w:r>
        <w:rPr>
          <w:rFonts w:cs="Tahoma" w:ascii="Tahoma" w:hAnsi="Tahoma"/>
          <w:sz w:val="20"/>
        </w:rPr>
        <w:tab/>
        <w:tab/>
      </w:r>
      <w:r>
        <w:rPr>
          <w:rFonts w:cs="Tahoma" w:ascii="Tahoma" w:hAnsi="Tahoma"/>
          <w:i/>
          <w:iCs/>
          <w:color w:val="3366FF"/>
          <w:sz w:val="20"/>
        </w:rPr>
        <w:t>v případě fyzické osoby se uvede pouze „příjemce“</w:t>
      </w:r>
    </w:p>
    <w:p>
      <w:pPr>
        <w:pStyle w:val="Normal"/>
        <w:tabs>
          <w:tab w:val="clear" w:pos="708"/>
          <w:tab w:val="center" w:pos="1980" w:leader="none"/>
        </w:tabs>
        <w:ind w:start="360" w:end="0"/>
        <w:jc w:val="both"/>
        <w:rPr>
          <w:rFonts w:ascii="Tahoma" w:hAnsi="Tahoma" w:cs="Tahoma"/>
          <w:sz w:val="20"/>
        </w:rPr>
      </w:pPr>
      <w:r>
        <w:rPr>
          <w:rFonts w:eastAsia="Tahoma" w:cs="Tahoma" w:ascii="Tahoma" w:hAnsi="Tahoma"/>
          <w:sz w:val="20"/>
        </w:rPr>
        <w:t xml:space="preserve">     </w:t>
      </w:r>
    </w:p>
    <w:p>
      <w:pPr>
        <w:pStyle w:val="Normal"/>
        <w:jc w:val="both"/>
        <w:rPr/>
      </w:pPr>
      <w:r>
        <w:rPr>
          <w:rFonts w:cs="Tahoma" w:ascii="Tahoma" w:hAnsi="Tahoma"/>
          <w:sz w:val="20"/>
        </w:rPr>
        <w:t>Tuto smlouvu je na základě pověření hejtmanem kraje uděleného se souhlasem rady kraje oprávněna podepsat 1. náměstkyně hejtmana kraje. V případě nepřítomnosti 1. náměstkyně hejtmana kraje podepisuje smlouvu hejtman kraje, případně jeho zástupce v pořadí určeném usnesením zastupitelstva č. 1/11 ze dne 21. 10. 2024.</w:t>
      </w:r>
    </w:p>
    <w:sectPr>
      <w:headerReference w:type="default" r:id="rId4"/>
      <w:headerReference w:type="first" r:id="rId5"/>
      <w:footerReference w:type="default" r:id="rId6"/>
      <w:footerReference w:type="first" r:id="rId7"/>
      <w:type w:val="nextPage"/>
      <w:pgSz w:w="11906" w:h="16838"/>
      <w:pgMar w:left="1418" w:right="1418" w:gutter="0" w:header="709" w:top="1418" w:footer="709" w:bottom="1418"/>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ourier New">
    <w:charset w:val="ee" w:characterSet="windows-1250"/>
    <w:family w:val="modern"/>
    <w:pitch w:val="default"/>
  </w:font>
  <w:font w:name="Wingdings">
    <w:charset w:val="02"/>
    <w:family w:val="auto"/>
    <w:pitch w:val="variable"/>
  </w:font>
  <w:font w:name="Tahoma">
    <w:charset w:val="ee" w:characterSet="windows-1250"/>
    <w:family w:val="swiss"/>
    <w:pitch w:val="variable"/>
  </w:font>
  <w:font w:name="Verdana">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vlev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360"/>
        </w:tabs>
        <w:ind w:start="360" w:hanging="360"/>
      </w:pPr>
      <w:rPr/>
    </w:lvl>
  </w:abstractNum>
  <w:abstractNum w:abstractNumId="3">
    <w:lvl w:ilvl="0">
      <w:start w:val="1"/>
      <w:numFmt w:val="decimal"/>
      <w:lvlText w:val="%1."/>
      <w:lvlJc w:val="start"/>
      <w:pPr>
        <w:tabs>
          <w:tab w:val="num" w:pos="720"/>
        </w:tabs>
        <w:ind w:start="720" w:hanging="360"/>
      </w:pPr>
      <w:rPr/>
    </w:lvl>
  </w:abstractNum>
  <w:abstractNum w:abstractNumId="4">
    <w:lvl w:ilvl="0">
      <w:start w:val="1"/>
      <w:numFmt w:val="decimal"/>
      <w:lvlText w:val="%1."/>
      <w:lvlJc w:val="start"/>
      <w:pPr>
        <w:tabs>
          <w:tab w:val="num" w:pos="360"/>
        </w:tabs>
        <w:ind w:start="360" w:hanging="360"/>
      </w:pPr>
      <w:rPr/>
    </w:lvl>
  </w:abstractNum>
  <w:abstractNum w:abstractNumId="5">
    <w:lvl w:ilvl="0">
      <w:start w:val="1"/>
      <w:numFmt w:val="decimal"/>
      <w:lvlText w:val="%1."/>
      <w:lvlJc w:val="start"/>
      <w:pPr>
        <w:tabs>
          <w:tab w:val="num" w:pos="735"/>
        </w:tabs>
        <w:ind w:start="735" w:hanging="375"/>
      </w:pPr>
      <w:rPr/>
    </w:lvl>
    <w:lvl w:ilvl="1">
      <w:start w:val="1"/>
      <w:numFmt w:val="lowerLetter"/>
      <w:lvlText w:val="%2)"/>
      <w:lvlJc w:val="start"/>
      <w:pPr>
        <w:tabs>
          <w:tab w:val="num" w:pos="1440"/>
        </w:tabs>
        <w:ind w:start="1440" w:hanging="360"/>
      </w:pPr>
      <w:rPr>
        <w:b w:val="false"/>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6">
    <w:lvl w:ilvl="0">
      <w:start w:val="1"/>
      <w:numFmt w:val="bullet"/>
      <w:lvlText w:val=""/>
      <w:lvlJc w:val="start"/>
      <w:pPr>
        <w:tabs>
          <w:tab w:val="num" w:pos="723"/>
        </w:tabs>
        <w:ind w:start="723" w:hanging="360"/>
      </w:pPr>
      <w:rPr>
        <w:rFonts w:ascii="Symbol" w:hAnsi="Symbol" w:cs="Symbol" w:hint="default"/>
      </w:rPr>
    </w:lvl>
  </w:abstractNum>
  <w:abstractNum w:abstractNumId="7">
    <w:lvl w:ilvl="0">
      <w:start w:val="1"/>
      <w:numFmt w:val="lowerLetter"/>
      <w:lvlText w:val="%1)"/>
      <w:lvlJc w:val="start"/>
      <w:pPr>
        <w:tabs>
          <w:tab w:val="num" w:pos="0"/>
        </w:tabs>
        <w:ind w:start="1077" w:hanging="360"/>
      </w:pPr>
      <w:rPr/>
    </w:lvl>
    <w:lvl w:ilvl="1">
      <w:start w:val="1"/>
      <w:numFmt w:val="lowerLetter"/>
      <w:lvlText w:val="%2)"/>
      <w:lvlJc w:val="start"/>
      <w:pPr>
        <w:tabs>
          <w:tab w:val="num" w:pos="0"/>
        </w:tabs>
        <w:ind w:start="1797" w:hanging="360"/>
      </w:pPr>
    </w:lvl>
    <w:lvl w:ilvl="2">
      <w:start w:val="1"/>
      <w:numFmt w:val="lowerRoman"/>
      <w:lvlText w:val="%3."/>
      <w:lvlJc w:val="end"/>
      <w:pPr>
        <w:tabs>
          <w:tab w:val="num" w:pos="0"/>
        </w:tabs>
        <w:ind w:start="2517" w:hanging="180"/>
      </w:pPr>
    </w:lvl>
    <w:lvl w:ilvl="3">
      <w:start w:val="1"/>
      <w:numFmt w:val="decimal"/>
      <w:lvlText w:val="%4."/>
      <w:lvlJc w:val="start"/>
      <w:pPr>
        <w:tabs>
          <w:tab w:val="num" w:pos="0"/>
        </w:tabs>
        <w:ind w:start="3237" w:hanging="360"/>
      </w:pPr>
    </w:lvl>
    <w:lvl w:ilvl="4">
      <w:start w:val="1"/>
      <w:numFmt w:val="lowerLetter"/>
      <w:lvlText w:val="%5."/>
      <w:lvlJc w:val="start"/>
      <w:pPr>
        <w:tabs>
          <w:tab w:val="num" w:pos="0"/>
        </w:tabs>
        <w:ind w:start="3957" w:hanging="360"/>
      </w:pPr>
    </w:lvl>
    <w:lvl w:ilvl="5">
      <w:start w:val="1"/>
      <w:numFmt w:val="lowerRoman"/>
      <w:lvlText w:val="%6."/>
      <w:lvlJc w:val="end"/>
      <w:pPr>
        <w:tabs>
          <w:tab w:val="num" w:pos="0"/>
        </w:tabs>
        <w:ind w:start="4677" w:hanging="180"/>
      </w:pPr>
    </w:lvl>
    <w:lvl w:ilvl="6">
      <w:start w:val="1"/>
      <w:numFmt w:val="decimal"/>
      <w:lvlText w:val="%7."/>
      <w:lvlJc w:val="start"/>
      <w:pPr>
        <w:tabs>
          <w:tab w:val="num" w:pos="0"/>
        </w:tabs>
        <w:ind w:start="5397" w:hanging="360"/>
      </w:pPr>
    </w:lvl>
    <w:lvl w:ilvl="7">
      <w:start w:val="1"/>
      <w:numFmt w:val="lowerLetter"/>
      <w:lvlText w:val="%8."/>
      <w:lvlJc w:val="start"/>
      <w:pPr>
        <w:tabs>
          <w:tab w:val="num" w:pos="0"/>
        </w:tabs>
        <w:ind w:start="6117" w:hanging="360"/>
      </w:pPr>
    </w:lvl>
    <w:lvl w:ilvl="8">
      <w:start w:val="1"/>
      <w:numFmt w:val="lowerRoman"/>
      <w:lvlText w:val="%9."/>
      <w:lvlJc w:val="end"/>
      <w:pPr>
        <w:tabs>
          <w:tab w:val="num" w:pos="0"/>
        </w:tabs>
        <w:ind w:start="6837" w:hanging="180"/>
      </w:pPr>
    </w:lvl>
  </w:abstractNum>
  <w:abstractNum w:abstractNumId="8">
    <w:lvl w:ilvl="0">
      <w:start w:val="1"/>
      <w:numFmt w:val="decimal"/>
      <w:lvlText w:val="%1."/>
      <w:lvlJc w:val="start"/>
      <w:pPr>
        <w:tabs>
          <w:tab w:val="num" w:pos="720"/>
        </w:tabs>
        <w:ind w:start="720" w:hanging="360"/>
      </w:pPr>
      <w:rPr/>
    </w:lvl>
    <w:lvl w:ilvl="1">
      <w:start w:val="1"/>
      <w:numFmt w:val="lowerLetter"/>
      <w:lvlText w:val="%2)"/>
      <w:lvlJc w:val="start"/>
      <w:pPr>
        <w:tabs>
          <w:tab w:val="num" w:pos="1770"/>
        </w:tabs>
        <w:ind w:start="1770" w:hanging="69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9">
    <w:lvl w:ilvl="0">
      <w:start w:val="1"/>
      <w:numFmt w:val="decimal"/>
      <w:lvlText w:val="%1."/>
      <w:lvlJc w:val="start"/>
      <w:pPr>
        <w:tabs>
          <w:tab w:val="num" w:pos="720"/>
        </w:tabs>
        <w:ind w:start="720" w:hanging="360"/>
      </w:pPr>
      <w:rPr>
        <w:b w:val="false"/>
      </w:rPr>
    </w:lvl>
  </w:abstractNum>
  <w:abstractNum w:abstractNumId="10">
    <w:lvl w:ilvl="0">
      <w:numFmt w:val="bullet"/>
      <w:lvlText w:val="-"/>
      <w:lvlJc w:val="start"/>
      <w:pPr>
        <w:tabs>
          <w:tab w:val="num" w:pos="1200"/>
        </w:tabs>
        <w:ind w:start="1200" w:hanging="360"/>
      </w:pPr>
      <w:rPr>
        <w:rFonts w:ascii="Times New Roman" w:hAnsi="Times New Roman" w:cs="Times New Roman" w:hint="default"/>
      </w:rPr>
    </w:lvl>
  </w:abstractNum>
  <w:abstractNum w:abstractNumId="11">
    <w:lvl w:ilvl="0">
      <w:start w:val="1"/>
      <w:numFmt w:val="decimal"/>
      <w:lvlText w:val="%1."/>
      <w:lvlJc w:val="start"/>
      <w:pPr>
        <w:tabs>
          <w:tab w:val="num" w:pos="1080"/>
        </w:tabs>
        <w:ind w:start="1080" w:hanging="360"/>
      </w:pPr>
    </w:lvl>
  </w:abstractNum>
  <w:abstractNum w:abstractNumId="12">
    <w:lvl w:ilvl="0">
      <w:start w:val="1"/>
      <w:numFmt w:val="decimal"/>
      <w:lvlText w:val="%1."/>
      <w:lvlJc w:val="start"/>
      <w:pPr>
        <w:tabs>
          <w:tab w:val="num" w:pos="360"/>
        </w:tabs>
        <w:ind w:start="3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trackRevisions/>
  <w:defaultTabStop w:val="708"/>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Heading1">
    <w:name w:val="Heading 1"/>
    <w:basedOn w:val="Normal"/>
    <w:next w:val="Normal"/>
    <w:qFormat/>
    <w:pPr>
      <w:keepNext w:val="true"/>
      <w:numPr>
        <w:ilvl w:val="0"/>
        <w:numId w:val="1"/>
      </w:numPr>
      <w:outlineLvl w:val="0"/>
    </w:pPr>
    <w:rPr>
      <w:b/>
      <w:bCs/>
      <w:sz w:val="36"/>
    </w:rPr>
  </w:style>
  <w:style w:type="paragraph" w:styleId="Heading2">
    <w:name w:val="Heading 2"/>
    <w:basedOn w:val="Normal"/>
    <w:next w:val="Normal"/>
    <w:qFormat/>
    <w:pPr>
      <w:keepNext w:val="true"/>
      <w:numPr>
        <w:ilvl w:val="1"/>
        <w:numId w:val="1"/>
      </w:numPr>
      <w:jc w:val="center"/>
      <w:outlineLvl w:val="1"/>
    </w:pPr>
    <w:rPr>
      <w:b/>
      <w:bCs/>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style>
  <w:style w:type="character" w:styleId="WW8Num6z0">
    <w:name w:val="WW8Num6z0"/>
    <w:qFormat/>
    <w:rPr/>
  </w:style>
  <w:style w:type="character" w:styleId="WW8Num7z0">
    <w:name w:val="WW8Num7z0"/>
    <w:qFormat/>
    <w:rPr/>
  </w:style>
  <w:style w:type="character" w:styleId="WW8Num7z1">
    <w:name w:val="WW8Num7z1"/>
    <w:qFormat/>
    <w:rPr>
      <w:b w:val="false"/>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10z0">
    <w:name w:val="WW8Num10z0"/>
    <w:qFormat/>
    <w:rPr/>
  </w:style>
  <w:style w:type="character" w:styleId="WW8Num11z0">
    <w:name w:val="WW8Num11z0"/>
    <w:qFormat/>
    <w:rPr>
      <w:b w:val="false"/>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4z0">
    <w:name w:val="WW8Num14z0"/>
    <w:qFormat/>
    <w:rPr/>
  </w:style>
  <w:style w:type="character" w:styleId="Standardnpsmoodstavce">
    <w:name w:val="Standardní písmo odstavce"/>
    <w:qFormat/>
    <w:rPr/>
  </w:style>
  <w:style w:type="character" w:styleId="PageNumber">
    <w:name w:val="Page Number"/>
    <w:basedOn w:val="Standardnpsmoodstavce"/>
    <w:rPr/>
  </w:style>
  <w:style w:type="character" w:styleId="Strong">
    <w:name w:val="Strong"/>
    <w:qFormat/>
    <w:rPr>
      <w:b/>
      <w:bCs/>
    </w:rPr>
  </w:style>
  <w:style w:type="character" w:styleId="Odkaznakoment">
    <w:name w:val="Odkaz na komentář"/>
    <w:qFormat/>
    <w:rPr>
      <w:sz w:val="16"/>
      <w:szCs w:val="16"/>
    </w:rPr>
  </w:style>
  <w:style w:type="character" w:styleId="Hyperlink">
    <w:name w:val="Hyperlink"/>
    <w:rPr>
      <w:color w:val="0000FF"/>
      <w:u w:val="single"/>
    </w:rPr>
  </w:style>
  <w:style w:type="character" w:styleId="TextkomenteChar">
    <w:name w:val="Text komentáře Char"/>
    <w:qFormat/>
    <w:rPr>
      <w:lang w:val="cs-CZ"/>
    </w:rPr>
  </w:style>
  <w:style w:type="character" w:styleId="ZhlavChar">
    <w:name w:val="Záhlaví Char"/>
    <w:qFormat/>
    <w:rPr>
      <w:sz w:val="24"/>
      <w:szCs w:val="24"/>
    </w:rPr>
  </w:style>
  <w:style w:type="character" w:styleId="ZkladntextChar">
    <w:name w:val="Základní text Char"/>
    <w:qFormat/>
    <w:rPr>
      <w:b/>
      <w:bCs/>
      <w:sz w:val="40"/>
      <w:szCs w:val="24"/>
    </w:rPr>
  </w:style>
  <w:style w:type="paragraph" w:styleId="Nadpis">
    <w:name w:val="Nadpis"/>
    <w:basedOn w:val="Normal"/>
    <w:next w:val="Normal"/>
    <w:qFormat/>
    <w:pPr>
      <w:widowControl w:val="false"/>
      <w:spacing w:before="0" w:after="480"/>
      <w:jc w:val="center"/>
    </w:pPr>
    <w:rPr>
      <w:b/>
      <w:sz w:val="48"/>
      <w:szCs w:val="20"/>
    </w:rPr>
  </w:style>
  <w:style w:type="paragraph" w:styleId="BodyText">
    <w:name w:val="Body Text"/>
    <w:basedOn w:val="Normal"/>
    <w:pPr/>
    <w:rPr>
      <w:b/>
      <w:bCs/>
      <w:sz w:val="4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Zkladntextodsazen2">
    <w:name w:val="Základní text odsazený 2"/>
    <w:basedOn w:val="Normal"/>
    <w:qFormat/>
    <w:pPr>
      <w:tabs>
        <w:tab w:val="clear" w:pos="708"/>
        <w:tab w:val="left" w:pos="5580" w:leader="none"/>
        <w:tab w:val="left" w:pos="6300" w:leader="none"/>
        <w:tab w:val="left" w:pos="6840" w:leader="none"/>
      </w:tabs>
      <w:ind w:hanging="0" w:start="1080" w:end="0"/>
      <w:jc w:val="both"/>
    </w:pPr>
    <w:rPr>
      <w:sz w:val="28"/>
    </w:rPr>
  </w:style>
  <w:style w:type="paragraph" w:styleId="Zkladntext3">
    <w:name w:val="Základní text 3"/>
    <w:basedOn w:val="Normal"/>
    <w:qFormat/>
    <w:pPr>
      <w:tabs>
        <w:tab w:val="clear" w:pos="708"/>
        <w:tab w:val="left" w:pos="360" w:leader="none"/>
      </w:tabs>
      <w:spacing w:before="0" w:after="60"/>
      <w:jc w:val="both"/>
    </w:pPr>
    <w:rPr>
      <w:sz w:val="28"/>
    </w:rPr>
  </w:style>
  <w:style w:type="paragraph" w:styleId="BodyTextIndent">
    <w:name w:val="Body Text Indent"/>
    <w:basedOn w:val="Normal"/>
    <w:pPr>
      <w:tabs>
        <w:tab w:val="clear" w:pos="708"/>
        <w:tab w:val="left" w:pos="360" w:leader="none"/>
      </w:tabs>
      <w:ind w:hanging="360" w:start="360" w:end="0"/>
      <w:jc w:val="both"/>
    </w:pPr>
    <w:rPr/>
  </w:style>
  <w:style w:type="paragraph" w:styleId="Zkladntextodsazen3">
    <w:name w:val="Základní text odsazený 3"/>
    <w:basedOn w:val="Normal"/>
    <w:qFormat/>
    <w:pPr>
      <w:tabs>
        <w:tab w:val="clear" w:pos="708"/>
        <w:tab w:val="left" w:pos="360" w:leader="none"/>
      </w:tabs>
      <w:ind w:hanging="0" w:start="360" w:end="0"/>
      <w:jc w:val="both"/>
    </w:pPr>
    <w:rPr/>
  </w:style>
  <w:style w:type="paragraph" w:styleId="Zkladntext2">
    <w:name w:val="Základní text 2"/>
    <w:basedOn w:val="Normal"/>
    <w:qFormat/>
    <w:pPr>
      <w:jc w:val="both"/>
    </w:pPr>
    <w:rPr>
      <w:b/>
      <w:bCs/>
      <w:i/>
      <w:iCs/>
    </w:rPr>
  </w:style>
  <w:style w:type="paragraph" w:styleId="Textbubliny">
    <w:name w:val="Text bubliny"/>
    <w:basedOn w:val="Normal"/>
    <w:qFormat/>
    <w:pPr/>
    <w:rPr>
      <w:rFonts w:ascii="Tahoma" w:hAnsi="Tahoma" w:cs="Tahoma"/>
      <w:sz w:val="16"/>
      <w:szCs w:val="16"/>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rPr>
  </w:style>
  <w:style w:type="paragraph" w:styleId="Revize">
    <w:name w:val="Revize"/>
    <w:qFormat/>
    <w:pPr>
      <w:widowControl/>
      <w:bidi w:val="0"/>
    </w:pPr>
    <w:rPr>
      <w:rFonts w:ascii="Times New Roman" w:hAnsi="Times New Roman" w:eastAsia="Times New Roman" w:cs="Times New Roman"/>
      <w:color w:val="auto"/>
      <w:sz w:val="24"/>
      <w:szCs w:val="24"/>
      <w:lang w:val="cs-CZ" w:bidi="ar-SA" w:eastAsia="zh-CN"/>
    </w:rPr>
  </w:style>
  <w:style w:type="paragraph" w:styleId="CharChar1">
    <w:name w:val=" Char Char1"/>
    <w:basedOn w:val="Normal"/>
    <w:qFormat/>
    <w:pPr>
      <w:spacing w:lineRule="exact" w:line="240" w:before="0" w:after="160"/>
    </w:pPr>
    <w:rPr>
      <w:rFonts w:ascii="Verdana" w:hAnsi="Verdana" w:cs="Verdana"/>
      <w:sz w:val="20"/>
      <w:szCs w:val="20"/>
      <w:lang w:val="en-US"/>
    </w:rPr>
  </w:style>
  <w:style w:type="paragraph" w:styleId="Zhlavvlevo">
    <w:name w:val="Záhlaví vlevo"/>
    <w:basedOn w:val="Header"/>
    <w:qFormat/>
    <w:pPr>
      <w:suppressLineNumbers/>
      <w:tabs>
        <w:tab w:val="clear" w:pos="4536"/>
        <w:tab w:val="clear" w:pos="9072"/>
        <w:tab w:val="center" w:pos="4535" w:leader="none"/>
        <w:tab w:val="right" w:pos="9070"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k.cz/assets/kraj/symboly/graficky_manual.pdf" TargetMode="External"/><Relationship Id="rId3" Type="http://schemas.openxmlformats.org/officeDocument/2006/relationships/hyperlink" Target="http://www.msk.cz/"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59</TotalTime>
  <Application>LibreOffice/24.2.2.2$Windows_X86_64 LibreOffice_project/d56cc158d8a96260b836f100ef4b4ef25d6f1a01</Application>
  <AppVersion>15.0000</AppVersion>
  <Pages>8</Pages>
  <Words>3783</Words>
  <Characters>22323</Characters>
  <CharactersWithSpaces>25984</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2024-10-29T11:47:00Z</dcterms:created>
  <dc:creator>smidovaa</dc:creator>
  <dc:description/>
  <cp:keywords/>
  <dc:language>cs-CZ</dc:language>
  <cp:lastModifiedBy>Smiga Jan</cp:lastModifiedBy>
  <cp:lastPrinted>2012-01-18T16:47:00Z</cp:lastPrinted>
  <dcterms:modified xsi:type="dcterms:W3CDTF">2024-11-04T08:50:00Z</dcterms:modified>
  <cp:revision>15</cp:revision>
  <dc:subject/>
  <dc:title>S M L O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0x01010098F6BC78F4AE8B46B4F954BA16CAE0E8_x0000__x0000__x0000_</vt:lpwstr>
  </property>
  <property fmtid="{D5CDD505-2E9C-101B-9397-08002B2CF9AE}" pid="3" name="MSIP_Label_215ad6d0-798b-44f9-b3fd-112ad6275fb4_ActionId">
    <vt:lpwstr>c3a76511-684b-4848-bf89-0904191bf10e_x0000__x0000__x0000_</vt:lpwstr>
  </property>
  <property fmtid="{D5CDD505-2E9C-101B-9397-08002B2CF9AE}" pid="4" name="MSIP_Label_215ad6d0-798b-44f9-b3fd-112ad6275fb4_ContentBits">
    <vt:lpwstr>2_x0000__x0000_</vt:lpwstr>
  </property>
  <property fmtid="{D5CDD505-2E9C-101B-9397-08002B2CF9AE}" pid="5" name="MSIP_Label_215ad6d0-798b-44f9-b3fd-112ad6275fb4_Enabled">
    <vt:lpwstr>true_x0000__x0000__x0000_</vt:lpwstr>
  </property>
  <property fmtid="{D5CDD505-2E9C-101B-9397-08002B2CF9AE}" pid="6" name="MSIP_Label_215ad6d0-798b-44f9-b3fd-112ad6275fb4_Method">
    <vt:lpwstr>Standard_x0000__x0000__x0000_</vt:lpwstr>
  </property>
  <property fmtid="{D5CDD505-2E9C-101B-9397-08002B2CF9AE}" pid="7" name="MSIP_Label_215ad6d0-798b-44f9-b3fd-112ad6275fb4_Name">
    <vt:lpwstr>Neveřejná informace (popis)</vt:lpwstr>
  </property>
  <property fmtid="{D5CDD505-2E9C-101B-9397-08002B2CF9AE}" pid="8" name="MSIP_Label_215ad6d0-798b-44f9-b3fd-112ad6275fb4_SetDate">
    <vt:lpwstr>2023-10-24T08:36:52Z_x0000__x0000__x0000_</vt:lpwstr>
  </property>
  <property fmtid="{D5CDD505-2E9C-101B-9397-08002B2CF9AE}" pid="9" name="MSIP_Label_215ad6d0-798b-44f9-b3fd-112ad6275fb4_SiteId">
    <vt:lpwstr>39f24d0b-aa30-4551-8e81-43c77cf1000e_x0000__x0000__x0000_</vt:lpwstr>
  </property>
  <property fmtid="{D5CDD505-2E9C-101B-9397-08002B2CF9AE}" pid="10" name="Podruhe">
    <vt:bool>0</vt:bool>
  </property>
</Properties>
</file>